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R1-2100097</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e-Meeting, January 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February 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rPr>
          <w:rFonts w:hint="eastAsia"/>
          <w:lang w:val="en-US" w:eastAsia="zh-CN"/>
        </w:rPr>
      </w:pPr>
      <w:r>
        <w:rPr>
          <w:rFonts w:hint="eastAsia"/>
          <w:lang w:eastAsia="zh-CN"/>
        </w:rPr>
        <w:t>I</w:t>
      </w:r>
      <w:r>
        <w:rPr>
          <w:rFonts w:hint="eastAsia"/>
          <w:lang w:val="en-US" w:eastAsia="zh-CN"/>
        </w:rPr>
        <w:t>n RAN#90-e, a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eastAsia="zh-CN"/>
        </w:rPr>
        <w:t xml:space="preserve">joint channel estimation </w:t>
      </w:r>
      <w:r>
        <w:rPr>
          <w:rFonts w:hint="eastAsia"/>
          <w:lang w:val="en-US" w:eastAsia="zh-CN"/>
        </w:rPr>
        <w:t xml:space="preserve">for PUSCH for </w:t>
      </w:r>
      <w:r>
        <w:rPr>
          <w:lang w:eastAsia="zh-CN"/>
        </w:rPr>
        <w:t xml:space="preserve">both FR1 and FR2 as well as TDD and FDD. </w:t>
      </w:r>
      <w:r>
        <w:rPr>
          <w:rFonts w:hint="eastAsia"/>
          <w:lang w:val="en-US" w:eastAsia="zh-CN"/>
        </w:rPr>
        <w:t>The detail objective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0"/>
                <w:numId w:val="10"/>
              </w:numPr>
              <w:tabs>
                <w:tab w:val="left" w:pos="1440"/>
                <w:tab w:val="clear" w:pos="300"/>
              </w:tabs>
              <w:overflowPunct/>
              <w:autoSpaceDE/>
              <w:autoSpaceDN/>
              <w:adjustRightInd/>
              <w:spacing w:before="120" w:after="120" w:line="276" w:lineRule="auto"/>
              <w:ind w:left="300" w:leftChars="0" w:hanging="360" w:firstLineChars="0"/>
              <w:jc w:val="both"/>
              <w:textAlignment w:val="auto"/>
            </w:pPr>
            <w:r>
              <w:t>Specify mechanism(s) to enable joint channel estimation [RAN1, RAN4]</w:t>
            </w:r>
          </w:p>
          <w:p>
            <w:pPr>
              <w:numPr>
                <w:ilvl w:val="1"/>
                <w:numId w:val="10"/>
              </w:numPr>
              <w:tabs>
                <w:tab w:val="left" w:pos="2160"/>
                <w:tab w:val="clear" w:pos="1020"/>
              </w:tabs>
              <w:overflowPunct/>
              <w:autoSpaceDE/>
              <w:autoSpaceDN/>
              <w:adjustRightInd/>
              <w:spacing w:before="120" w:after="120" w:line="276" w:lineRule="auto"/>
              <w:ind w:left="1020" w:leftChars="0" w:hanging="360" w:firstLineChars="0"/>
              <w:jc w:val="both"/>
              <w:textAlignment w:val="auto"/>
            </w:pPr>
            <w:r>
              <w:t>Mechanism(s) to enable joint channel estimation over multiple PUSCH transmissions, based on the conditions to keep power consistency and phase continuity to be investigated and specified if necessary by RAN4 [RAN1, RAN4]</w:t>
            </w:r>
          </w:p>
          <w:p>
            <w:pPr>
              <w:numPr>
                <w:ilvl w:val="2"/>
                <w:numId w:val="10"/>
              </w:numPr>
              <w:tabs>
                <w:tab w:val="left" w:pos="2880"/>
                <w:tab w:val="clear" w:pos="1740"/>
              </w:tabs>
              <w:suppressAutoHyphens/>
              <w:autoSpaceDE/>
              <w:autoSpaceDN/>
              <w:adjustRightInd/>
              <w:spacing w:before="120" w:after="120" w:line="276" w:lineRule="auto"/>
              <w:ind w:left="1740" w:leftChars="0" w:hanging="360" w:firstLineChars="0"/>
              <w:jc w:val="both"/>
              <w:textAlignment w:val="auto"/>
              <w:rPr>
                <w:color w:val="auto"/>
              </w:rPr>
            </w:pPr>
            <w:r>
              <w:rPr>
                <w:color w:val="auto"/>
              </w:rPr>
              <w:t>Potential optimization of DMRS location/granularity in time domain is not precluded</w:t>
            </w:r>
          </w:p>
          <w:p>
            <w:pPr>
              <w:numPr>
                <w:ilvl w:val="1"/>
                <w:numId w:val="10"/>
              </w:numPr>
              <w:tabs>
                <w:tab w:val="left" w:pos="2160"/>
                <w:tab w:val="clear" w:pos="1020"/>
              </w:tabs>
              <w:overflowPunct/>
              <w:autoSpaceDE/>
              <w:autoSpaceDN/>
              <w:adjustRightInd/>
              <w:spacing w:before="120" w:after="120" w:line="276" w:lineRule="auto"/>
              <w:ind w:left="1020" w:leftChars="0" w:hanging="360" w:firstLineChars="0"/>
              <w:jc w:val="both"/>
              <w:textAlignment w:val="auto"/>
              <w:rPr>
                <w:rFonts w:hint="default"/>
                <w:highlight w:val="none"/>
                <w:vertAlign w:val="baseline"/>
                <w:lang w:val="en-US" w:eastAsia="zh-CN"/>
              </w:rPr>
            </w:pPr>
            <w:r>
              <w:t>Inter-slot frequency hopping with inter-slot bundling to enable joint channel estimation [RAN1]</w:t>
            </w:r>
          </w:p>
        </w:tc>
      </w:tr>
    </w:tbl>
    <w:p>
      <w:pPr>
        <w:bidi w:val="0"/>
        <w:rPr>
          <w:rFonts w:hint="eastAsia"/>
          <w:highlight w:val="none"/>
          <w:lang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corresponding enhancements based on the following output achieved in SI phase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highlight w:val="none"/>
                <w:vertAlign w:val="baseline"/>
                <w:lang w:val="en-US" w:eastAsia="zh-CN"/>
              </w:rPr>
            </w:pPr>
            <w:r>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 Potential specification impacts of joint channel estimation or DM-RS bundling include: power consistency and phase continuity, DM-RS placement in special slot and DM-RS configuration, Time domain hopping interval for inter-slot frequency hopping with inter-slot bundling.</w:t>
            </w:r>
          </w:p>
        </w:tc>
      </w:tr>
    </w:tbl>
    <w:p>
      <w:pPr>
        <w:bidi w:val="0"/>
        <w:rPr>
          <w:rFonts w:hint="eastAsia"/>
          <w:highlight w:val="none"/>
          <w:lang w:val="en-US" w:eastAsia="zh-CN"/>
        </w:rPr>
      </w:pPr>
    </w:p>
    <w:p>
      <w:pPr>
        <w:pStyle w:val="2"/>
        <w:bidi w:val="0"/>
        <w:rPr>
          <w:rFonts w:hint="eastAsia"/>
          <w:lang w:val="en-US" w:eastAsia="zh-CN"/>
        </w:rPr>
      </w:pPr>
      <w:r>
        <w:rPr>
          <w:rFonts w:hint="eastAsia"/>
          <w:lang w:val="en-US" w:eastAsia="zh-CN"/>
        </w:rPr>
        <w:t xml:space="preserve">Discussion </w:t>
      </w:r>
    </w:p>
    <w:p>
      <w:pPr>
        <w:pStyle w:val="3"/>
        <w:bidi w:val="0"/>
        <w:rPr>
          <w:rFonts w:hint="eastAsia"/>
          <w:lang w:val="en-US" w:eastAsia="zh-CN"/>
        </w:rPr>
      </w:pPr>
      <w:r>
        <w:rPr>
          <w:rFonts w:hint="eastAsia"/>
          <w:lang w:val="en-US" w:eastAsia="zh-CN"/>
        </w:rPr>
        <w:t>Inter-slot FH bundling for cross-slot channel estimation</w:t>
      </w:r>
    </w:p>
    <w:p>
      <w:pPr>
        <w:numPr>
          <w:ilvl w:val="255"/>
          <w:numId w:val="0"/>
        </w:numPr>
        <w:rPr>
          <w:rFonts w:hint="eastAsia"/>
          <w:lang w:val="en-US" w:eastAsia="zh-CN"/>
        </w:rPr>
      </w:pPr>
      <w:r>
        <w:rPr>
          <w:rFonts w:hint="eastAsia"/>
          <w:lang w:val="en-US" w:eastAsia="zh-CN"/>
        </w:rPr>
        <w:t>During SI phase, cross-slot channel estimation has been proved beneficial for coverage enhancement due to improved channel estimation accuracy. On top of it, inter-slot FH with inter-slot bundling may provide additional performance gain. Basically, a</w:t>
      </w:r>
      <w:r>
        <w:rPr>
          <w:rFonts w:hint="eastAsia"/>
          <w:highlight w:val="none"/>
          <w:lang w:val="en-US" w:eastAsia="zh-CN"/>
        </w:rPr>
        <w:t xml:space="preserve"> smaller bundle size could achieve higher diversity gain while a lower joint channel estimation gain and vice versa. T</w:t>
      </w:r>
      <w:r>
        <w:rPr>
          <w:rFonts w:hint="eastAsia"/>
          <w:lang w:val="en-US" w:eastAsia="zh-CN"/>
        </w:rPr>
        <w:t xml:space="preserve">o achieve a good balance between FH diversity gain and joint channel estimation gain, the inter-slot FH pattern in the time domain should be studied. </w:t>
      </w:r>
    </w:p>
    <w:p>
      <w:pPr>
        <w:numPr>
          <w:ilvl w:val="255"/>
          <w:numId w:val="0"/>
        </w:numPr>
        <w:rPr>
          <w:rFonts w:hint="default"/>
          <w:lang w:val="en-US" w:eastAsia="zh-CN"/>
        </w:rPr>
      </w:pPr>
      <w:r>
        <w:rPr>
          <w:rFonts w:hint="eastAsia"/>
          <w:lang w:val="en-US" w:eastAsia="zh-CN"/>
        </w:rPr>
        <w:t xml:space="preserve">In Figure 1, different inter-slot FH patterns in the time domain for PUSCH with 8 repetitions are provided. In the example, FDD operation is assumed and the bundling size is one of the divisors of the maximum number of repetitions. </w:t>
      </w:r>
    </w:p>
    <w:p>
      <w:pPr>
        <w:numPr>
          <w:ilvl w:val="255"/>
          <w:numId w:val="0"/>
        </w:numPr>
        <w:jc w:val="center"/>
      </w:pPr>
      <w:r>
        <w:drawing>
          <wp:inline distT="0" distB="0" distL="114300" distR="114300">
            <wp:extent cx="4441825" cy="227584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441825" cy="2275840"/>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Figure 1 Different inter-slot FH patterns in the time domain for PUSCH with 8 repetitions in FDD</w:t>
      </w:r>
    </w:p>
    <w:p>
      <w:pPr>
        <w:numPr>
          <w:ilvl w:val="255"/>
          <w:numId w:val="0"/>
        </w:numPr>
        <w:jc w:val="both"/>
        <w:rPr>
          <w:rFonts w:hint="eastAsia"/>
          <w:highlight w:val="none"/>
          <w:lang w:val="en-US" w:eastAsia="zh-CN"/>
        </w:rPr>
      </w:pPr>
      <w:r>
        <w:rPr>
          <w:rFonts w:hint="eastAsia"/>
          <w:highlight w:val="none"/>
          <w:lang w:val="en-US" w:eastAsia="zh-CN"/>
        </w:rPr>
        <w:t xml:space="preserve">In Figure 2, the performance of different inter-slot FH patterns in the time domain for PUSCH with 8 repetitions is provided. </w:t>
      </w:r>
    </w:p>
    <w:p>
      <w:pPr>
        <w:numPr>
          <w:ilvl w:val="255"/>
          <w:numId w:val="0"/>
        </w:numPr>
        <w:jc w:val="center"/>
        <w:rPr>
          <w:rFonts w:hint="default"/>
          <w:highlight w:val="yellow"/>
          <w:lang w:val="en-US" w:eastAsia="zh-CN"/>
        </w:rPr>
      </w:pPr>
      <w:r>
        <w:drawing>
          <wp:inline distT="0" distB="0" distL="114300" distR="114300">
            <wp:extent cx="5335905" cy="3788410"/>
            <wp:effectExtent l="4445" t="4445" r="6350" b="17145"/>
            <wp:docPr id="25"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Performance of</w:t>
      </w:r>
      <w:r>
        <w:rPr>
          <w:rFonts w:hint="eastAsia"/>
          <w:highlight w:val="none"/>
          <w:lang w:val="en-US" w:eastAsia="zh-CN"/>
        </w:rPr>
        <w:t xml:space="preserve"> different inter-slot FH patterns in the time domain for PUSCH with 8 repetitions</w:t>
      </w:r>
    </w:p>
    <w:p>
      <w:pPr>
        <w:numPr>
          <w:ilvl w:val="255"/>
          <w:numId w:val="0"/>
        </w:numPr>
        <w:rPr>
          <w:rFonts w:hint="eastAsia"/>
          <w:highlight w:val="none"/>
          <w:lang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2</w:t>
      </w:r>
      <w:r>
        <w:rPr>
          <w:rFonts w:hint="eastAsia"/>
          <w:highlight w:val="none"/>
          <w:lang w:eastAsia="zh-CN"/>
        </w:rPr>
        <w:t xml:space="preserve">, </w:t>
      </w:r>
      <w:r>
        <w:rPr>
          <w:rFonts w:hint="eastAsia"/>
          <w:highlight w:val="none"/>
          <w:lang w:val="en-US" w:eastAsia="zh-CN"/>
        </w:rPr>
        <w:t>the case with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4 can provide additional 2.66 dB, 1.38dB, 0.88dB and 0.78 dB gain over the case with baseline performance, legacy inter-slot FH, joint channel estimation while no inter-slot FH and i</w:t>
      </w:r>
      <w:r>
        <w:t xml:space="preserve">nter-slot </w:t>
      </w:r>
      <w:r>
        <w:rPr>
          <w:rFonts w:hint="eastAsia"/>
          <w:lang w:val="en-US" w:eastAsia="zh-CN"/>
        </w:rPr>
        <w:t>FH</w:t>
      </w:r>
      <w:r>
        <w:t xml:space="preserve"> with inter-slot bundling</w:t>
      </w:r>
      <w:r>
        <w:rPr>
          <w:rFonts w:hint="eastAsia"/>
          <w:highlight w:val="none"/>
          <w:lang w:val="en-US" w:eastAsia="zh-CN"/>
        </w:rPr>
        <w:t xml:space="preserve"> of size 2 respectively in 700MHz rural scenario</w:t>
      </w:r>
      <w:r>
        <w:rPr>
          <w:rFonts w:hint="eastAsia"/>
          <w:highlight w:val="none"/>
          <w:lang w:eastAsia="zh-CN"/>
        </w:rPr>
        <w:t>.</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default"/>
          <w:highlight w:val="none"/>
          <w:lang w:val="en-US" w:eastAsia="zh-CN"/>
        </w:rPr>
      </w:pPr>
      <w:r>
        <w:rPr>
          <w:rFonts w:hint="eastAsia"/>
          <w:highlight w:val="none"/>
          <w:lang w:val="en-US" w:eastAsia="zh-CN"/>
        </w:rPr>
        <w:t xml:space="preserve">According to Figure 2, the case with FH for only one time, i.e., bundling size 4, provides the best performance. Thus, the bundling size can be implicitly determined by the number of repetitions </w:t>
      </w:r>
      <w:r>
        <w:rPr>
          <w:rFonts w:hint="eastAsia"/>
          <w:i/>
          <w:iCs/>
          <w:highlight w:val="none"/>
          <w:lang w:val="en-US" w:eastAsia="zh-CN"/>
        </w:rPr>
        <w:t>K</w:t>
      </w:r>
      <w:r>
        <w:rPr>
          <w:rFonts w:hint="eastAsia"/>
          <w:highlight w:val="none"/>
          <w:lang w:val="en-US" w:eastAsia="zh-CN"/>
        </w:rPr>
        <w:t xml:space="preserve">, e.g., </w:t>
      </w:r>
      <w:r>
        <w:rPr>
          <w:rFonts w:hint="eastAsia"/>
          <w:i/>
          <w:iCs/>
          <w:highlight w:val="none"/>
          <w:lang w:val="en-US" w:eastAsia="zh-CN"/>
        </w:rPr>
        <w:t>floor (K/2)</w:t>
      </w:r>
      <w:r>
        <w:rPr>
          <w:rFonts w:hint="eastAsia"/>
          <w:highlight w:val="none"/>
          <w:lang w:val="en-US" w:eastAsia="zh-CN"/>
        </w:rPr>
        <w:t xml:space="preserve"> or </w:t>
      </w:r>
      <w:r>
        <w:rPr>
          <w:rFonts w:hint="eastAsia"/>
          <w:i/>
          <w:iCs/>
          <w:highlight w:val="none"/>
          <w:lang w:val="en-US" w:eastAsia="zh-CN"/>
        </w:rPr>
        <w:t>cell(K/2).</w:t>
      </w:r>
      <w:r>
        <w:rPr>
          <w:rFonts w:hint="eastAsia"/>
          <w:highlight w:val="none"/>
          <w:lang w:val="en-US" w:eastAsia="zh-CN"/>
        </w:rPr>
        <w:t xml:space="preserve"> However, under different scenarios, e.g., different UE speed or different number of receiving antennas, it may need to use different bundling sizes for better performance. Thus, it may also desirable to make the bundling size configurable by RRC or even dynamically indicated by DCI. </w:t>
      </w:r>
    </w:p>
    <w:p>
      <w:pPr>
        <w:numPr>
          <w:ilvl w:val="255"/>
          <w:numId w:val="0"/>
        </w:numPr>
        <w:rPr>
          <w:rFonts w:hint="eastAsia"/>
          <w:b/>
          <w:bCs/>
          <w:i/>
          <w:iCs/>
          <w:highlight w:val="none"/>
          <w:lang w:eastAsia="zh-CN"/>
        </w:rPr>
      </w:pPr>
    </w:p>
    <w:p>
      <w:pPr>
        <w:numPr>
          <w:ilvl w:val="255"/>
          <w:numId w:val="0"/>
        </w:numPr>
        <w:rPr>
          <w:rFonts w:hint="eastAsia"/>
          <w:b/>
          <w:bCs/>
          <w:i/>
          <w:iCs/>
          <w:highlight w:val="none"/>
          <w:lang w:eastAsia="zh-CN"/>
        </w:rPr>
      </w:pP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RAN1 down-selects from the two options below. </w:t>
      </w:r>
    </w:p>
    <w:p>
      <w:pPr>
        <w:numPr>
          <w:ilvl w:val="0"/>
          <w:numId w:val="11"/>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e.g., floor (K/2) or cell(K/2). </w:t>
      </w:r>
    </w:p>
    <w:p>
      <w:pPr>
        <w:numPr>
          <w:ilvl w:val="0"/>
          <w:numId w:val="11"/>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numPr>
          <w:ilvl w:val="255"/>
          <w:numId w:val="0"/>
        </w:numPr>
        <w:rPr>
          <w:rFonts w:hint="eastAsia"/>
          <w:highlight w:val="none"/>
          <w:lang w:val="en-US" w:eastAsia="zh-CN"/>
        </w:rPr>
      </w:pPr>
      <w:r>
        <w:rPr>
          <w:rFonts w:hint="eastAsia"/>
          <w:highlight w:val="none"/>
          <w:lang w:val="en-US" w:eastAsia="zh-CN"/>
        </w:rPr>
        <w:t xml:space="preserve">For TDD operation, joint channel estimation may be only performed among PUSCH transmissions in consecutive UL slots. Depending on TDD configuration and definition of one FH bundle, the inter-slot FH pattern could be different. Take Figure 3 for instance, two inter-slot FH patterns are given based on bundling size of 2, and </w:t>
      </w:r>
      <w:r>
        <w:rPr>
          <w:rFonts w:hint="eastAsia"/>
          <w:b w:val="0"/>
          <w:bCs w:val="0"/>
          <w:highlight w:val="none"/>
          <w:lang w:val="en-US" w:eastAsia="zh-CN"/>
        </w:rPr>
        <w:t>FH happens between each FH bundle.</w:t>
      </w:r>
    </w:p>
    <w:p>
      <w:pPr>
        <w:numPr>
          <w:ilvl w:val="255"/>
          <w:numId w:val="0"/>
        </w:numPr>
        <w:jc w:val="center"/>
      </w:pPr>
      <w:r>
        <w:drawing>
          <wp:inline distT="0" distB="0" distL="114300" distR="114300">
            <wp:extent cx="5781675" cy="18726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781675" cy="1872615"/>
                    </a:xfrm>
                    <a:prstGeom prst="rect">
                      <a:avLst/>
                    </a:prstGeom>
                    <a:noFill/>
                    <a:ln>
                      <a:noFill/>
                    </a:ln>
                  </pic:spPr>
                </pic:pic>
              </a:graphicData>
            </a:graphic>
          </wp:inline>
        </w:drawing>
      </w:r>
    </w:p>
    <w:p>
      <w:pPr>
        <w:numPr>
          <w:ilvl w:val="255"/>
          <w:numId w:val="0"/>
        </w:numPr>
        <w:jc w:val="center"/>
        <w:rPr>
          <w:rFonts w:hint="default"/>
          <w:highlight w:val="none"/>
          <w:lang w:val="en-US" w:eastAsia="zh-CN"/>
        </w:rPr>
      </w:pPr>
      <w:r>
        <w:rPr>
          <w:rFonts w:hint="eastAsia"/>
          <w:highlight w:val="none"/>
          <w:lang w:val="en-US" w:eastAsia="zh-CN"/>
        </w:rPr>
        <w:t xml:space="preserve">Figure 3 Different inter-slot FH patterns in the time domain for PUSCH with 8 repetitions in TDD, and inter-slot FH bundling size is 2. </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240" w:beforeLines="100"/>
        <w:ind w:leftChars="0"/>
        <w:textAlignment w:val="baseline"/>
        <w:rPr>
          <w:rFonts w:hint="default"/>
          <w:b w:val="0"/>
          <w:bCs w:val="0"/>
          <w:lang w:val="en-US" w:eastAsia="zh-CN"/>
        </w:rPr>
      </w:pPr>
      <w:r>
        <w:rPr>
          <w:rFonts w:hint="eastAsia"/>
          <w:b w:val="0"/>
          <w:bCs w:val="0"/>
          <w:lang w:val="en-US" w:eastAsia="zh-CN"/>
        </w:rPr>
        <w:t xml:space="preserve">Regarding Pattern 1, the inter-slot FH bundling is based on consecutive slots. That is, one bundle contains consecutive slots which could be either DL or UL slots. For Pattern 2, the inter-slot FH bundling is based on available slots. That is, one bundle can only include the slots for actual PUSCH transmission(s). It seems no much difference among above two patterns, since they all have three hops while joint channel estimation can only be done in one hop. However, there could be differences if different TDD configuration or different bundling size is assumed. As a result, the inter-slot FH bundling pattern for TDD should be further studied. </w:t>
      </w:r>
    </w:p>
    <w:p>
      <w:pPr>
        <w:rPr>
          <w:rFonts w:hint="default"/>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 xml:space="preserve">FFS the inter-slot FH bundling pattern for TDD operation. </w:t>
      </w:r>
    </w:p>
    <w:p>
      <w:pPr>
        <w:pStyle w:val="3"/>
        <w:bidi w:val="0"/>
        <w:rPr>
          <w:rFonts w:hint="default" w:cs="Times New Roman"/>
          <w:lang w:val="en-US" w:eastAsia="zh-CN"/>
        </w:rPr>
      </w:pPr>
      <w:r>
        <w:rPr>
          <w:rFonts w:hint="eastAsia" w:cs="Times New Roman"/>
          <w:lang w:val="en-US" w:eastAsia="zh-CN"/>
        </w:rPr>
        <w:t>Optimization of DMRS location/granularity in the time domain</w:t>
      </w:r>
    </w:p>
    <w:p>
      <w:pPr>
        <w:rPr>
          <w:rFonts w:hint="default"/>
          <w:color w:val="auto"/>
          <w:lang w:val="en-US" w:eastAsia="zh-CN"/>
        </w:rPr>
      </w:pPr>
      <w:r>
        <w:rPr>
          <w:color w:val="auto"/>
        </w:rPr>
        <w:t xml:space="preserve">Potential optimization of DMRS location/granularity in </w:t>
      </w:r>
      <w:r>
        <w:rPr>
          <w:rFonts w:hint="eastAsia"/>
          <w:color w:val="auto"/>
          <w:lang w:val="en-US" w:eastAsia="zh-CN"/>
        </w:rPr>
        <w:t xml:space="preserve">the </w:t>
      </w:r>
      <w:r>
        <w:rPr>
          <w:color w:val="auto"/>
        </w:rPr>
        <w:t>time domain</w:t>
      </w:r>
      <w:r>
        <w:rPr>
          <w:rFonts w:hint="eastAsia"/>
          <w:color w:val="auto"/>
          <w:lang w:val="en-US" w:eastAsia="zh-CN"/>
        </w:rPr>
        <w:t xml:space="preserve"> was discussed in SI phase. For instance, DMRS may only exist in some of the repetitions, i.e., DMRS-less scheme. The main concern in SI study is from the marginal performance gain and potential unmanageable specification impacts. In the following, we first evaluate whether there is clear performance gain for DMRS </w:t>
      </w:r>
      <w:r>
        <w:rPr>
          <w:color w:val="auto"/>
        </w:rPr>
        <w:t>optimization</w:t>
      </w:r>
      <w:r>
        <w:rPr>
          <w:rFonts w:hint="eastAsia"/>
          <w:color w:val="auto"/>
          <w:lang w:val="en-US" w:eastAsia="zh-CN"/>
        </w:rPr>
        <w:t>, and then provide our views for minimizing the specification impacts.</w:t>
      </w:r>
    </w:p>
    <w:p>
      <w:pPr>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In Figure 4, </w:t>
      </w:r>
      <w:r>
        <w:rPr>
          <w:rFonts w:hint="eastAsia" w:cs="Times New Roman"/>
          <w:color w:val="auto"/>
          <w:lang w:val="en-US" w:eastAsia="zh-CN"/>
        </w:rPr>
        <w:t xml:space="preserve">four </w:t>
      </w:r>
      <w:r>
        <w:rPr>
          <w:rFonts w:hint="eastAsia" w:ascii="Times New Roman" w:hAnsi="Times New Roman" w:cs="Times New Roman"/>
          <w:color w:val="auto"/>
          <w:lang w:val="en-US" w:eastAsia="zh-CN"/>
        </w:rPr>
        <w:t xml:space="preserve">DMRS patterns in the time domain for PUSCH with 8 repetitions are provided. </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1: 1 DMRS symbol in each repetition</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DMRS Pattern 2: 2 DMRS symbols in each repetition</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3: 1 DMRS symbol in every two repetitions </w:t>
      </w:r>
    </w:p>
    <w:p>
      <w:pPr>
        <w:numPr>
          <w:ilvl w:val="0"/>
          <w:numId w:val="12"/>
        </w:numPr>
        <w:ind w:left="840" w:leftChars="0" w:hanging="420" w:firstLineChars="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 xml:space="preserve">DMRS Pattern 4: 2 DMRS symbols in every two repetitions </w:t>
      </w:r>
    </w:p>
    <w:p>
      <w:pPr>
        <w:rPr>
          <w:rFonts w:hint="default"/>
          <w:color w:val="auto"/>
          <w:highlight w:val="yellow"/>
          <w:lang w:val="en-US" w:eastAsia="zh-CN"/>
        </w:rPr>
      </w:pPr>
    </w:p>
    <w:p>
      <w:r>
        <w:drawing>
          <wp:inline distT="0" distB="0" distL="114300" distR="114300">
            <wp:extent cx="6112510" cy="1777365"/>
            <wp:effectExtent l="0" t="0" r="889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112510" cy="1777365"/>
                    </a:xfrm>
                    <a:prstGeom prst="rect">
                      <a:avLst/>
                    </a:prstGeom>
                    <a:noFill/>
                    <a:ln>
                      <a:noFill/>
                    </a:ln>
                  </pic:spPr>
                </pic:pic>
              </a:graphicData>
            </a:graphic>
          </wp:inline>
        </w:drawing>
      </w:r>
    </w:p>
    <w:p>
      <w:pPr>
        <w:jc w:val="center"/>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Figure 4 Different DMRS patterns in the time domain for PUSCH with 8 repetitions</w:t>
      </w:r>
    </w:p>
    <w:p>
      <w:pPr>
        <w:rPr>
          <w:rFonts w:hint="eastAsia"/>
          <w:lang w:val="en-US" w:eastAsia="zh-CN"/>
        </w:rPr>
      </w:pPr>
      <w:r>
        <w:rPr>
          <w:rFonts w:hint="eastAsia"/>
          <w:lang w:val="en-US" w:eastAsia="zh-CN"/>
        </w:rPr>
        <w:t xml:space="preserve">For above four </w:t>
      </w:r>
      <w:r>
        <w:rPr>
          <w:rFonts w:hint="default"/>
          <w:lang w:val="en-US" w:eastAsia="zh-CN"/>
        </w:rPr>
        <w:t>DMRS patterns</w:t>
      </w:r>
      <w:r>
        <w:rPr>
          <w:rFonts w:hint="eastAsia"/>
          <w:lang w:val="en-US" w:eastAsia="zh-CN"/>
        </w:rPr>
        <w:t xml:space="preserve">, we further evaluate the following cases with or without enabling cross-slot joint channel estimation. </w:t>
      </w:r>
    </w:p>
    <w:p>
      <w:pPr>
        <w:numPr>
          <w:ilvl w:val="0"/>
          <w:numId w:val="13"/>
        </w:numPr>
        <w:ind w:left="840" w:leftChars="0" w:hanging="420" w:firstLineChars="0"/>
        <w:rPr>
          <w:rFonts w:hint="eastAsia"/>
          <w:lang w:val="en-US" w:eastAsia="zh-CN"/>
        </w:rPr>
      </w:pPr>
      <w:r>
        <w:rPr>
          <w:rFonts w:hint="eastAsia"/>
          <w:lang w:val="en-US" w:eastAsia="zh-CN"/>
        </w:rPr>
        <w:t>Case 1: DMRS pattern 1 w/o joint channel estimation, (Baseline 1), MCS0.</w:t>
      </w:r>
    </w:p>
    <w:p>
      <w:pPr>
        <w:numPr>
          <w:ilvl w:val="0"/>
          <w:numId w:val="13"/>
        </w:numPr>
        <w:ind w:left="840" w:leftChars="0" w:hanging="420" w:firstLineChars="0"/>
        <w:rPr>
          <w:rFonts w:hint="eastAsia"/>
          <w:lang w:val="en-US" w:eastAsia="zh-CN"/>
        </w:rPr>
      </w:pPr>
      <w:r>
        <w:rPr>
          <w:rFonts w:hint="eastAsia"/>
          <w:lang w:val="en-US" w:eastAsia="zh-CN"/>
        </w:rPr>
        <w:t>Case 2: DMRS pattern 2 w/o joint channel estimation, (Baseline 2), MCS1.</w:t>
      </w:r>
    </w:p>
    <w:p>
      <w:pPr>
        <w:numPr>
          <w:ilvl w:val="0"/>
          <w:numId w:val="13"/>
        </w:numPr>
        <w:ind w:left="840" w:leftChars="0" w:hanging="420" w:firstLineChars="0"/>
        <w:rPr>
          <w:rFonts w:hint="eastAsia"/>
          <w:lang w:val="en-US" w:eastAsia="zh-CN"/>
        </w:rPr>
      </w:pPr>
      <w:r>
        <w:rPr>
          <w:rFonts w:hint="eastAsia"/>
          <w:lang w:val="en-US" w:eastAsia="zh-CN"/>
        </w:rPr>
        <w:t xml:space="preserve">Case 3: DMRS pattern 1 w/ joint channel estimation, w/o DMRS </w:t>
      </w:r>
      <w:r>
        <w:rPr>
          <w:color w:val="auto"/>
        </w:rPr>
        <w:t>optimization</w:t>
      </w:r>
      <w:r>
        <w:rPr>
          <w:rFonts w:hint="eastAsia"/>
          <w:color w:val="auto"/>
          <w:lang w:val="en-US" w:eastAsia="zh-CN"/>
        </w:rPr>
        <w:t xml:space="preserve">, </w:t>
      </w:r>
      <w:r>
        <w:rPr>
          <w:rFonts w:hint="eastAsia"/>
          <w:lang w:val="en-US" w:eastAsia="zh-CN"/>
        </w:rPr>
        <w:t>MCS0.</w:t>
      </w:r>
    </w:p>
    <w:p>
      <w:pPr>
        <w:numPr>
          <w:ilvl w:val="0"/>
          <w:numId w:val="13"/>
        </w:numPr>
        <w:ind w:left="840" w:leftChars="0" w:hanging="420" w:firstLineChars="0"/>
        <w:rPr>
          <w:rFonts w:hint="eastAsia"/>
          <w:lang w:val="en-US" w:eastAsia="zh-CN"/>
        </w:rPr>
      </w:pPr>
      <w:r>
        <w:rPr>
          <w:rFonts w:hint="eastAsia"/>
          <w:lang w:val="en-US" w:eastAsia="zh-CN"/>
        </w:rPr>
        <w:t xml:space="preserve">Case 4: DMRS pattern 2 w/ joint channel estimation, w/o DMRS </w:t>
      </w:r>
      <w:r>
        <w:rPr>
          <w:color w:val="auto"/>
        </w:rPr>
        <w:t>optimization</w:t>
      </w:r>
      <w:r>
        <w:rPr>
          <w:rFonts w:hint="eastAsia"/>
          <w:color w:val="auto"/>
          <w:lang w:val="en-US" w:eastAsia="zh-CN"/>
        </w:rPr>
        <w:t xml:space="preserve">, </w:t>
      </w:r>
      <w:r>
        <w:rPr>
          <w:rFonts w:hint="eastAsia"/>
          <w:lang w:val="en-US" w:eastAsia="zh-CN"/>
        </w:rPr>
        <w:t>MCS1.</w:t>
      </w:r>
    </w:p>
    <w:p>
      <w:pPr>
        <w:numPr>
          <w:ilvl w:val="0"/>
          <w:numId w:val="13"/>
        </w:numPr>
        <w:ind w:left="840" w:leftChars="0" w:hanging="420" w:firstLineChars="0"/>
        <w:rPr>
          <w:rFonts w:hint="eastAsia"/>
          <w:lang w:val="en-US" w:eastAsia="zh-CN"/>
        </w:rPr>
      </w:pPr>
      <w:r>
        <w:rPr>
          <w:rFonts w:hint="eastAsia"/>
          <w:lang w:val="en-US" w:eastAsia="zh-CN"/>
        </w:rPr>
        <w:t xml:space="preserve">Case 5: DMRS pattern 3 w/ joint channel estimation, w/ DMRS </w:t>
      </w:r>
      <w:r>
        <w:rPr>
          <w:color w:val="auto"/>
        </w:rPr>
        <w:t>optimization</w:t>
      </w:r>
      <w:r>
        <w:rPr>
          <w:rFonts w:hint="eastAsia"/>
          <w:lang w:val="en-US" w:eastAsia="zh-CN"/>
        </w:rPr>
        <w:t xml:space="preserve">, MCS0. </w:t>
      </w:r>
    </w:p>
    <w:p>
      <w:pPr>
        <w:numPr>
          <w:ilvl w:val="0"/>
          <w:numId w:val="13"/>
        </w:numPr>
        <w:ind w:left="840" w:leftChars="0" w:hanging="420" w:firstLineChars="0"/>
        <w:rPr>
          <w:rFonts w:hint="eastAsia"/>
          <w:color w:val="auto"/>
          <w:lang w:val="en-US" w:eastAsia="zh-CN"/>
        </w:rPr>
      </w:pPr>
      <w:r>
        <w:rPr>
          <w:rFonts w:hint="eastAsia"/>
          <w:lang w:val="en-US" w:eastAsia="zh-CN"/>
        </w:rPr>
        <w:t xml:space="preserve">Case 6: DMRS pattern 4 w/ joint channel estimation, w/ DMRS </w:t>
      </w:r>
      <w:r>
        <w:rPr>
          <w:color w:val="auto"/>
        </w:rPr>
        <w:t>optimization</w:t>
      </w:r>
      <w:r>
        <w:rPr>
          <w:rFonts w:hint="eastAsia"/>
          <w:color w:val="auto"/>
          <w:lang w:val="en-US" w:eastAsia="zh-CN"/>
        </w:rPr>
        <w:t xml:space="preserve">, </w:t>
      </w:r>
      <w:r>
        <w:rPr>
          <w:rFonts w:hint="eastAsia"/>
          <w:lang w:val="en-US" w:eastAsia="zh-CN"/>
        </w:rPr>
        <w:t>MCS0.</w:t>
      </w:r>
    </w:p>
    <w:p>
      <w:pPr>
        <w:jc w:val="center"/>
      </w:pPr>
      <w:r>
        <w:drawing>
          <wp:inline distT="0" distB="0" distL="114300" distR="114300">
            <wp:extent cx="4897755" cy="4432935"/>
            <wp:effectExtent l="4445" t="4445" r="12700" b="7620"/>
            <wp:docPr id="3"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 xml:space="preserve">5 </w:t>
      </w:r>
      <w:r>
        <w:rPr>
          <w:rFonts w:hint="eastAsia"/>
          <w:highlight w:val="none"/>
          <w:lang w:eastAsia="zh-CN"/>
        </w:rPr>
        <w:t>Performance of</w:t>
      </w:r>
      <w:r>
        <w:rPr>
          <w:rFonts w:hint="eastAsia"/>
          <w:highlight w:val="none"/>
          <w:lang w:val="en-US" w:eastAsia="zh-CN"/>
        </w:rPr>
        <w:t xml:space="preserve"> 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 for PUSCH with 8 repetitions</w:t>
      </w:r>
    </w:p>
    <w:p>
      <w:pPr>
        <w:numPr>
          <w:ilvl w:val="255"/>
          <w:numId w:val="0"/>
        </w:numPr>
        <w:rPr>
          <w:rFonts w:hint="eastAsia"/>
          <w:lang w:val="en-US" w:eastAsia="zh-CN"/>
        </w:rPr>
      </w:pPr>
      <w:r>
        <w:rPr>
          <w:rFonts w:hint="eastAsia"/>
          <w:lang w:val="en-US" w:eastAsia="zh-CN"/>
        </w:rPr>
        <w:t xml:space="preserve">In our evaluation, a fixed TBS and the same number of RBs are assumed for all above cases. With such assumption, it leads to different MCS for different cases, where MCS1 is assumed for Case 2 and Case 4 and MCS0 for other cases. More detailed simulation assumptions are provided in Table A-2 in the appendix. </w:t>
      </w:r>
    </w:p>
    <w:p>
      <w:pPr>
        <w:numPr>
          <w:ilvl w:val="255"/>
          <w:numId w:val="0"/>
        </w:numPr>
        <w:rPr>
          <w:rFonts w:hint="eastAsia"/>
          <w:lang w:val="en-US" w:eastAsia="zh-CN"/>
        </w:rPr>
      </w:pPr>
      <w:r>
        <w:rPr>
          <w:rFonts w:hint="eastAsia"/>
          <w:highlight w:val="none"/>
          <w:lang w:val="en-US" w:eastAsia="zh-CN"/>
        </w:rPr>
        <w:t>As can be observed in</w:t>
      </w:r>
      <w:r>
        <w:rPr>
          <w:rFonts w:hint="eastAsia"/>
          <w:highlight w:val="none"/>
          <w:lang w:eastAsia="zh-CN"/>
        </w:rPr>
        <w:t xml:space="preserve"> </w:t>
      </w:r>
      <w:r>
        <w:rPr>
          <w:rFonts w:hint="eastAsia"/>
          <w:highlight w:val="none"/>
          <w:lang w:val="en-US" w:eastAsia="zh-CN"/>
        </w:rPr>
        <w:t>Figure 5</w:t>
      </w:r>
      <w:r>
        <w:rPr>
          <w:rFonts w:hint="eastAsia"/>
          <w:highlight w:val="none"/>
          <w:lang w:eastAsia="zh-CN"/>
        </w:rPr>
        <w:t xml:space="preserve">, </w:t>
      </w:r>
      <w:r>
        <w:rPr>
          <w:rFonts w:hint="eastAsia"/>
          <w:highlight w:val="none"/>
          <w:lang w:val="en-US" w:eastAsia="zh-CN"/>
        </w:rPr>
        <w:t xml:space="preserve">Case 6 can provide additional 2.74 dB, 2.62 dB, 0.56 dB, 0.93 dB and 0.79 dB gain over the Case 1, Case 2, Case 3, Case 4 and Case 5 respectively in 700MHz Rural scenario </w:t>
      </w:r>
      <w:r>
        <w:rPr>
          <w:rFonts w:hint="eastAsia"/>
          <w:lang w:val="en-US" w:eastAsia="zh-CN"/>
        </w:rPr>
        <w:t>at target BLER 0.1</w:t>
      </w:r>
      <w:r>
        <w:rPr>
          <w:rFonts w:hint="eastAsia"/>
          <w:highlight w:val="none"/>
          <w:lang w:eastAsia="zh-CN"/>
        </w:rPr>
        <w:t>.</w:t>
      </w:r>
      <w:r>
        <w:rPr>
          <w:rFonts w:hint="eastAsia"/>
          <w:highlight w:val="none"/>
          <w:lang w:val="en-US" w:eastAsia="zh-CN"/>
        </w:rPr>
        <w:t xml:space="preserve"> That is, DMRS optimization (Case 6) can provide additionally 0.56~0.93 dB gain compared to the cases (Case 3 and Case 4) with enabling joint channel estimation while no DMRS optimization. </w:t>
      </w:r>
    </w:p>
    <w:p>
      <w:pPr>
        <w:numPr>
          <w:ilvl w:val="255"/>
          <w:numId w:val="0"/>
        </w:numPr>
        <w:rPr>
          <w:rFonts w:hint="eastAsia"/>
          <w:i/>
          <w:iCs/>
          <w:color w:val="auto"/>
          <w:lang w:val="en-US" w:eastAsia="zh-CN"/>
        </w:rPr>
      </w:pPr>
      <w:r>
        <w:rPr>
          <w:rFonts w:hint="eastAsia"/>
          <w:b/>
          <w:bCs/>
          <w:i/>
          <w:iCs/>
          <w:highlight w:val="none"/>
          <w:lang w:val="en-US" w:eastAsia="zh-CN"/>
        </w:rPr>
        <w:t xml:space="preserve">Observation 2: </w:t>
      </w:r>
      <w:r>
        <w:rPr>
          <w:rFonts w:hint="eastAsia"/>
          <w:i/>
          <w:iCs/>
          <w:color w:val="auto"/>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t>
      </w:r>
      <w:r>
        <w:rPr>
          <w:rFonts w:hint="eastAsia"/>
          <w:i/>
          <w:iCs/>
          <w:highlight w:val="none"/>
          <w:lang w:val="en-US" w:eastAsia="zh-CN"/>
        </w:rPr>
        <w:t xml:space="preserve">can provide additionally 0.56~0.93 dB gain compared to the case with enabling joint channel estimation while no DMRS optimization. </w:t>
      </w:r>
    </w:p>
    <w:p>
      <w:pPr>
        <w:numPr>
          <w:ilvl w:val="255"/>
          <w:numId w:val="0"/>
        </w:numPr>
        <w:rPr>
          <w:rFonts w:hint="eastAsia"/>
          <w:color w:val="auto"/>
          <w:lang w:val="en-US" w:eastAsia="zh-CN"/>
        </w:rPr>
      </w:pPr>
      <w:r>
        <w:rPr>
          <w:rFonts w:hint="eastAsia"/>
          <w:i w:val="0"/>
          <w:iCs w:val="0"/>
          <w:color w:val="auto"/>
          <w:lang w:val="en-US" w:eastAsia="zh-CN"/>
        </w:rPr>
        <w:t xml:space="preserve">If DMRS optimization is supported, </w:t>
      </w:r>
      <w:r>
        <w:rPr>
          <w:rFonts w:hint="eastAsia"/>
          <w:color w:val="auto"/>
          <w:lang w:val="en-US" w:eastAsia="zh-CN"/>
        </w:rPr>
        <w:t xml:space="preserve">the optimization should be limited to certain UE features </w:t>
      </w:r>
      <w:r>
        <w:rPr>
          <w:rFonts w:hint="eastAsia"/>
          <w:i w:val="0"/>
          <w:iCs w:val="0"/>
          <w:color w:val="auto"/>
          <w:lang w:val="en-US" w:eastAsia="zh-CN"/>
        </w:rPr>
        <w:t xml:space="preserve">to minimize the </w:t>
      </w:r>
      <w:r>
        <w:rPr>
          <w:rFonts w:hint="eastAsia"/>
          <w:color w:val="auto"/>
          <w:lang w:val="en-US" w:eastAsia="zh-CN"/>
        </w:rPr>
        <w:t xml:space="preserve">specification efforts. For instance, DMRS optimization is only applied for PUSCH repetition type A. This could avoid lots of discussion on how to design the DMRS due to different segmentation cases for PUSCH repetition type B. In addition, DMRS pattern should not be changed in each repetition. In other words, it should only focus on DMRS optimization among different repetitions, e.g., DMRS may not present in all repetitions. Other limitations, if any, could also be considered. </w:t>
      </w:r>
    </w:p>
    <w:p>
      <w:pPr>
        <w:numPr>
          <w:ilvl w:val="255"/>
          <w:numId w:val="0"/>
        </w:numPr>
        <w:rPr>
          <w:rFonts w:hint="eastAsia"/>
          <w:color w:val="auto"/>
          <w:lang w:val="en-US" w:eastAsia="zh-CN"/>
        </w:rPr>
      </w:pPr>
      <w:r>
        <w:rPr>
          <w:rFonts w:hint="eastAsia"/>
          <w:color w:val="auto"/>
          <w:lang w:val="en-US" w:eastAsia="zh-CN"/>
        </w:rPr>
        <w:t xml:space="preserve">In addition, the above discussed PUSCH repetition bundling for inter-slot FH could be considered to apply for DMRS optimization. For instance, DMRS optimization is based on each bundle, and DMRS pattern is the same among different bundles.  </w:t>
      </w:r>
    </w:p>
    <w:p>
      <w:pPr>
        <w:numPr>
          <w:ilvl w:val="255"/>
          <w:numId w:val="0"/>
        </w:numPr>
        <w:rPr>
          <w:rFonts w:hint="default"/>
          <w:color w:val="auto"/>
          <w:lang w:val="en-US" w:eastAsia="zh-CN"/>
        </w:rPr>
      </w:pPr>
      <w:r>
        <w:rPr>
          <w:rFonts w:hint="eastAsia"/>
          <w:color w:val="auto"/>
          <w:lang w:val="en-US" w:eastAsia="zh-CN"/>
        </w:rPr>
        <w:t xml:space="preserve">With discussion above, we have the following proposal. </w:t>
      </w:r>
    </w:p>
    <w:p>
      <w:pPr>
        <w:numPr>
          <w:ilvl w:val="255"/>
          <w:numId w:val="0"/>
        </w:numPr>
        <w:rPr>
          <w:rFonts w:hint="default"/>
          <w:i/>
          <w:iCs/>
          <w:color w:val="auto"/>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If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is supported, the following conditions should be considered to minimize specification impacts. </w:t>
      </w:r>
    </w:p>
    <w:p>
      <w:pPr>
        <w:numPr>
          <w:ilvl w:val="0"/>
          <w:numId w:val="14"/>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14"/>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14"/>
        </w:numPr>
        <w:ind w:left="840" w:leftChars="0" w:hanging="420" w:firstLineChars="0"/>
        <w:rPr>
          <w:rFonts w:hint="default"/>
          <w:b w:val="0"/>
          <w:bCs w:val="0"/>
          <w:i/>
          <w:iCs/>
          <w:lang w:val="en-US" w:eastAsia="zh-CN"/>
        </w:rPr>
      </w:pPr>
      <w:r>
        <w:rPr>
          <w:rFonts w:hint="eastAsia"/>
          <w:i/>
          <w:iCs/>
          <w:color w:val="auto"/>
          <w:lang w:val="en-US" w:eastAsia="zh-CN"/>
        </w:rPr>
        <w:t xml:space="preserve">Consider to reuse the repetition bundle defined for inter-slot FH for DMRS optimization. </w:t>
      </w:r>
    </w:p>
    <w:p>
      <w:pPr>
        <w:pStyle w:val="3"/>
        <w:bidi w:val="0"/>
        <w:rPr>
          <w:rFonts w:hint="default" w:cs="Times New Roman"/>
          <w:lang w:val="en-US" w:eastAsia="zh-CN"/>
        </w:rPr>
      </w:pPr>
      <w:r>
        <w:rPr>
          <w:rFonts w:hint="eastAsia" w:cs="Times New Roman"/>
          <w:lang w:val="en-US" w:eastAsia="zh-CN"/>
        </w:rPr>
        <w:t>Conditions to keep power consistency and phase continuity</w:t>
      </w:r>
    </w:p>
    <w:p>
      <w:pPr>
        <w:rPr>
          <w:rFonts w:hint="default" w:cs="Times New Roman"/>
          <w:lang w:val="en-US" w:eastAsia="zh-CN"/>
        </w:rPr>
      </w:pPr>
      <w:r>
        <w:rPr>
          <w:rFonts w:hint="eastAsia" w:cs="Times New Roman"/>
          <w:lang w:val="en-US" w:eastAsia="zh-CN"/>
        </w:rPr>
        <w:t xml:space="preserve">In the RAN1#103-e meeting, an LS was approved to ask RAN4 about the conditions to keep power consistency and phase continuity across PUCCH or PUSCH repetitions[3]. Given the reply LS has not been received yet, it is more appropriate to postpone RAN1 related discussion until receiving the reply LS from RAN4. After that, RAN1 can further discuss how to meet the conditions, and corresponding potential RAN1 specification impacts if any. </w:t>
      </w:r>
    </w:p>
    <w:p>
      <w:pPr>
        <w:rPr>
          <w:rFonts w:hint="default" w:cs="Times New Roman"/>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 xml:space="preserve">Postpone RAN1 discussion related to the </w:t>
      </w:r>
      <w:r>
        <w:rPr>
          <w:rFonts w:hint="eastAsia" w:cs="Times New Roman"/>
          <w:b w:val="0"/>
          <w:bCs w:val="0"/>
          <w:i/>
          <w:iCs/>
          <w:lang w:val="en-US" w:eastAsia="zh-CN"/>
        </w:rPr>
        <w:t xml:space="preserve">conditions to keep power consistency and phase continuity among repetitions till receiving input from RAN4.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According to the analysis given above, we have the following</w:t>
      </w:r>
      <w:r>
        <w:rPr>
          <w:rFonts w:hint="eastAsia"/>
          <w:lang w:val="en-US" w:eastAsia="zh-CN"/>
        </w:rPr>
        <w:t xml:space="preserve"> observations and</w:t>
      </w:r>
      <w:r>
        <w:rPr>
          <w:rFonts w:hint="eastAsia" w:eastAsia="宋体"/>
          <w:lang w:val="en-US" w:eastAsia="zh-CN"/>
        </w:rPr>
        <w:t xml:space="preserve"> proposals:</w:t>
      </w:r>
    </w:p>
    <w:p>
      <w:pPr>
        <w:numPr>
          <w:ilvl w:val="255"/>
          <w:numId w:val="0"/>
        </w:numPr>
        <w:rPr>
          <w:rFonts w:hint="default"/>
          <w:i/>
          <w:iCs/>
          <w:lang w:val="en-US" w:eastAsia="zh-CN"/>
        </w:rPr>
      </w:pPr>
      <w:r>
        <w:rPr>
          <w:rFonts w:hint="eastAsia"/>
          <w:b/>
          <w:bCs/>
          <w:i/>
          <w:iCs/>
          <w:highlight w:val="none"/>
          <w:lang w:val="en-US" w:eastAsia="zh-CN"/>
        </w:rPr>
        <w:t xml:space="preserve">Observation 1: </w:t>
      </w:r>
      <w:r>
        <w:rPr>
          <w:rFonts w:hint="eastAsia"/>
          <w:i/>
          <w:iCs/>
          <w:highlight w:val="none"/>
          <w:lang w:val="en-US" w:eastAsia="zh-CN"/>
        </w:rPr>
        <w:t>I</w:t>
      </w:r>
      <w:r>
        <w:rPr>
          <w:i/>
          <w:iCs/>
        </w:rPr>
        <w:t xml:space="preserve">nter-slot </w:t>
      </w:r>
      <w:r>
        <w:rPr>
          <w:rFonts w:hint="eastAsia"/>
          <w:i/>
          <w:iCs/>
          <w:lang w:val="en-US" w:eastAsia="zh-CN"/>
        </w:rPr>
        <w:t>FH</w:t>
      </w:r>
      <w:r>
        <w:rPr>
          <w:i/>
          <w:iCs/>
        </w:rPr>
        <w:t xml:space="preserve"> with inter-slot bundling</w:t>
      </w:r>
      <w:r>
        <w:rPr>
          <w:rFonts w:hint="eastAsia"/>
          <w:i/>
          <w:iCs/>
          <w:lang w:val="en-US" w:eastAsia="zh-CN"/>
        </w:rPr>
        <w:t xml:space="preserve"> to enable joint channel estimation can provide up to 2.66 dB gain for PUSCH with 8 repetitions in </w:t>
      </w:r>
      <w:r>
        <w:rPr>
          <w:rFonts w:hint="eastAsia"/>
          <w:i/>
          <w:iCs/>
          <w:highlight w:val="none"/>
          <w:lang w:val="en-US" w:eastAsia="zh-CN"/>
        </w:rPr>
        <w:t>700MHz rural scenario</w:t>
      </w:r>
      <w:r>
        <w:rPr>
          <w:rFonts w:hint="eastAsia"/>
          <w:i/>
          <w:iCs/>
          <w:lang w:val="en-US" w:eastAsia="zh-CN"/>
        </w:rPr>
        <w:t xml:space="preserve">. </w:t>
      </w:r>
    </w:p>
    <w:p>
      <w:pPr>
        <w:numPr>
          <w:ilvl w:val="255"/>
          <w:numId w:val="0"/>
        </w:numPr>
        <w:rPr>
          <w:rFonts w:hint="eastAsia"/>
          <w:b w:val="0"/>
          <w:bCs w:val="0"/>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w:t>
      </w:r>
      <w:r>
        <w:rPr>
          <w:rFonts w:hint="eastAsia"/>
          <w:b/>
          <w:bCs/>
          <w:i/>
          <w:iCs/>
          <w:highlight w:val="none"/>
          <w:lang w:eastAsia="zh-CN"/>
        </w:rPr>
        <w:t xml:space="preserve">: </w:t>
      </w:r>
      <w:r>
        <w:rPr>
          <w:rFonts w:hint="eastAsia"/>
          <w:b w:val="0"/>
          <w:bCs w:val="0"/>
          <w:i/>
          <w:iCs/>
          <w:highlight w:val="none"/>
          <w:lang w:val="en-US" w:eastAsia="zh-CN"/>
        </w:rPr>
        <w:t xml:space="preserve">For the determination of inter-slot bundling size, RAN1 down-selects from the two options below. </w:t>
      </w:r>
    </w:p>
    <w:p>
      <w:pPr>
        <w:numPr>
          <w:ilvl w:val="0"/>
          <w:numId w:val="11"/>
        </w:numPr>
        <w:ind w:left="840" w:leftChars="0" w:hanging="420" w:firstLineChars="0"/>
        <w:rPr>
          <w:rFonts w:hint="eastAsia"/>
          <w:highlight w:val="none"/>
          <w:lang w:val="en-US" w:eastAsia="zh-CN"/>
        </w:rPr>
      </w:pPr>
      <w:r>
        <w:rPr>
          <w:rFonts w:hint="eastAsia"/>
          <w:b w:val="0"/>
          <w:bCs w:val="0"/>
          <w:i/>
          <w:iCs/>
          <w:highlight w:val="none"/>
          <w:lang w:val="en-US" w:eastAsia="zh-CN"/>
        </w:rPr>
        <w:t xml:space="preserve">Option 1: Inter-slot bundling size is </w:t>
      </w:r>
      <w:r>
        <w:rPr>
          <w:rFonts w:hint="eastAsia"/>
          <w:i/>
          <w:iCs/>
          <w:highlight w:val="none"/>
          <w:lang w:val="en-US" w:eastAsia="zh-CN"/>
        </w:rPr>
        <w:t xml:space="preserve">implicitly determined by the number of repetitions K, e.g., floor (K/2) or cell(K/2). </w:t>
      </w:r>
    </w:p>
    <w:p>
      <w:pPr>
        <w:numPr>
          <w:ilvl w:val="0"/>
          <w:numId w:val="11"/>
        </w:numPr>
        <w:ind w:left="840" w:leftChars="0" w:hanging="420" w:firstLineChars="0"/>
        <w:rPr>
          <w:rFonts w:hint="eastAsia"/>
          <w:highlight w:val="none"/>
          <w:lang w:val="en-US" w:eastAsia="zh-CN"/>
        </w:rPr>
      </w:pPr>
      <w:r>
        <w:rPr>
          <w:rFonts w:hint="eastAsia"/>
          <w:i/>
          <w:iCs/>
          <w:highlight w:val="none"/>
          <w:lang w:val="en-US" w:eastAsia="zh-CN"/>
        </w:rPr>
        <w:t xml:space="preserve">Option 2: </w:t>
      </w:r>
      <w:r>
        <w:rPr>
          <w:rFonts w:hint="eastAsia"/>
          <w:b w:val="0"/>
          <w:bCs w:val="0"/>
          <w:i/>
          <w:iCs/>
          <w:highlight w:val="none"/>
          <w:lang w:val="en-US" w:eastAsia="zh-CN"/>
        </w:rPr>
        <w:t xml:space="preserve">Inter-slot bundling size is </w:t>
      </w:r>
      <w:r>
        <w:rPr>
          <w:rFonts w:hint="eastAsia"/>
          <w:i/>
          <w:iCs/>
          <w:highlight w:val="none"/>
          <w:lang w:val="en-US" w:eastAsia="zh-CN"/>
        </w:rPr>
        <w:t xml:space="preserve">RRC </w:t>
      </w:r>
      <w:r>
        <w:rPr>
          <w:rFonts w:hint="eastAsia"/>
          <w:b w:val="0"/>
          <w:bCs w:val="0"/>
          <w:i/>
          <w:iCs/>
          <w:highlight w:val="none"/>
          <w:lang w:val="en-US" w:eastAsia="zh-CN"/>
        </w:rPr>
        <w:t xml:space="preserve">configured or dynamically indicated to a UE. </w:t>
      </w:r>
    </w:p>
    <w:p>
      <w:pPr>
        <w:rPr>
          <w:rFonts w:hint="default"/>
          <w:b/>
          <w:bCs/>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 xml:space="preserve">FFS the inter-slot FH bundling pattern for TDD operation. </w:t>
      </w:r>
    </w:p>
    <w:p>
      <w:pPr>
        <w:numPr>
          <w:ilvl w:val="255"/>
          <w:numId w:val="0"/>
        </w:numPr>
        <w:rPr>
          <w:rFonts w:hint="eastAsia"/>
          <w:i/>
          <w:iCs/>
          <w:color w:val="auto"/>
          <w:lang w:val="en-US" w:eastAsia="zh-CN"/>
        </w:rPr>
      </w:pPr>
      <w:r>
        <w:rPr>
          <w:rFonts w:hint="eastAsia"/>
          <w:b/>
          <w:bCs/>
          <w:i/>
          <w:iCs/>
          <w:highlight w:val="none"/>
          <w:lang w:val="en-US" w:eastAsia="zh-CN"/>
        </w:rPr>
        <w:t xml:space="preserve">Observation 2: </w:t>
      </w:r>
      <w:r>
        <w:rPr>
          <w:rFonts w:hint="eastAsia"/>
          <w:i/>
          <w:iCs/>
          <w:color w:val="auto"/>
          <w:lang w:val="en-US" w:eastAsia="zh-CN"/>
        </w:rPr>
        <w:t>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w:t>
      </w:r>
      <w:r>
        <w:rPr>
          <w:rFonts w:hint="eastAsia"/>
          <w:i/>
          <w:iCs/>
          <w:highlight w:val="none"/>
          <w:lang w:val="en-US" w:eastAsia="zh-CN"/>
        </w:rPr>
        <w:t xml:space="preserve">can provide additionally 0.56~0.93 dB gain compared to the case with enabling joint channel estimation while no DMRS optimization. </w:t>
      </w:r>
    </w:p>
    <w:p>
      <w:pPr>
        <w:numPr>
          <w:ilvl w:val="255"/>
          <w:numId w:val="0"/>
        </w:numPr>
        <w:rPr>
          <w:rFonts w:hint="default"/>
          <w:i/>
          <w:iCs/>
          <w:color w:val="auto"/>
          <w:lang w:val="en-US" w:eastAsia="zh-CN"/>
        </w:rPr>
      </w:pPr>
      <w:bookmarkStart w:id="4" w:name="_GoBack"/>
      <w:bookmarkEnd w:id="4"/>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If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is supported, the following conditions should be considered to minimize specification impacts. </w:t>
      </w:r>
    </w:p>
    <w:p>
      <w:pPr>
        <w:numPr>
          <w:ilvl w:val="0"/>
          <w:numId w:val="14"/>
        </w:numPr>
        <w:ind w:left="840" w:leftChars="0" w:hanging="420" w:firstLineChars="0"/>
        <w:rPr>
          <w:rFonts w:hint="default"/>
          <w:i/>
          <w:iCs/>
          <w:color w:val="auto"/>
          <w:lang w:val="en-US" w:eastAsia="zh-CN"/>
        </w:rPr>
      </w:pPr>
      <w:r>
        <w:rPr>
          <w:rFonts w:hint="eastAsia"/>
          <w:i/>
          <w:iCs/>
          <w:color w:val="auto"/>
          <w:lang w:val="en-US" w:eastAsia="zh-CN"/>
        </w:rPr>
        <w:t>DMRS optimization is only applied for PUSCH repetition type A.</w:t>
      </w:r>
    </w:p>
    <w:p>
      <w:pPr>
        <w:numPr>
          <w:ilvl w:val="0"/>
          <w:numId w:val="14"/>
        </w:numPr>
        <w:ind w:left="840" w:leftChars="0" w:hanging="420" w:firstLineChars="0"/>
        <w:rPr>
          <w:rFonts w:hint="default"/>
          <w:i/>
          <w:iCs/>
          <w:color w:val="auto"/>
          <w:lang w:val="en-US" w:eastAsia="zh-CN"/>
        </w:rPr>
      </w:pPr>
      <w:r>
        <w:rPr>
          <w:rFonts w:hint="eastAsia"/>
          <w:i/>
          <w:iCs/>
          <w:color w:val="auto"/>
          <w:lang w:val="en-US" w:eastAsia="zh-CN"/>
        </w:rPr>
        <w:t xml:space="preserve">DMRS pattern in each repetition is not changed. </w:t>
      </w:r>
    </w:p>
    <w:p>
      <w:pPr>
        <w:numPr>
          <w:ilvl w:val="0"/>
          <w:numId w:val="14"/>
        </w:numPr>
        <w:ind w:left="840" w:leftChars="0" w:hanging="420" w:firstLineChars="0"/>
        <w:rPr>
          <w:rFonts w:hint="default"/>
          <w:b w:val="0"/>
          <w:bCs w:val="0"/>
          <w:i/>
          <w:iCs/>
          <w:lang w:val="en-US" w:eastAsia="zh-CN"/>
        </w:rPr>
      </w:pPr>
      <w:r>
        <w:rPr>
          <w:rFonts w:hint="eastAsia"/>
          <w:i/>
          <w:iCs/>
          <w:color w:val="auto"/>
          <w:lang w:val="en-US" w:eastAsia="zh-CN"/>
        </w:rPr>
        <w:t xml:space="preserve">Consider to reuse the repetition bundle defined for inter-slot FH for DMRS optimization. </w:t>
      </w:r>
    </w:p>
    <w:p>
      <w:pPr>
        <w:rPr>
          <w:rFonts w:hint="default" w:cs="Times New Roman"/>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b/>
          <w:bCs/>
          <w:i/>
          <w:iCs/>
          <w:lang w:val="en-US" w:eastAsia="zh-CN"/>
        </w:rPr>
        <w:t xml:space="preserve"> </w:t>
      </w:r>
      <w:r>
        <w:rPr>
          <w:rFonts w:hint="eastAsia"/>
          <w:b w:val="0"/>
          <w:bCs w:val="0"/>
          <w:i/>
          <w:iCs/>
          <w:lang w:val="en-US" w:eastAsia="zh-CN"/>
        </w:rPr>
        <w:t xml:space="preserve">Postpone RAN1 discussion related to the </w:t>
      </w:r>
      <w:r>
        <w:rPr>
          <w:rFonts w:hint="eastAsia" w:cs="Times New Roman"/>
          <w:b w:val="0"/>
          <w:bCs w:val="0"/>
          <w:i/>
          <w:iCs/>
          <w:lang w:val="en-US" w:eastAsia="zh-CN"/>
        </w:rPr>
        <w:t xml:space="preserve">conditions to keep power consistency and phase continuity among repetitions till receiving input from RAN4. </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90-</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eastAsia="zh-CN"/>
        </w:rPr>
        <w:fldChar w:fldCharType="begin"/>
      </w:r>
      <w:r>
        <w:rPr>
          <w:rFonts w:hint="eastAsia" w:ascii="Times New Roman" w:hAnsi="Times New Roman" w:cs="Times New Roman"/>
          <w:sz w:val="20"/>
          <w:szCs w:val="15"/>
          <w:highlight w:val="none"/>
          <w:lang w:eastAsia="zh-CN"/>
        </w:rPr>
        <w:instrText xml:space="preserve"> HYPERLINK "http://www.3gpp.org/ftp/tsg_ran/TSG_RAN/TSGR_90e/Docs/RP-202928.zip" </w:instrText>
      </w:r>
      <w:r>
        <w:rPr>
          <w:rFonts w:hint="eastAsia" w:ascii="Times New Roman" w:hAnsi="Times New Roman" w:cs="Times New Roman"/>
          <w:sz w:val="20"/>
          <w:szCs w:val="15"/>
          <w:highlight w:val="none"/>
          <w:lang w:eastAsia="zh-CN"/>
        </w:rPr>
        <w:fldChar w:fldCharType="separate"/>
      </w:r>
      <w:r>
        <w:rPr>
          <w:rFonts w:hint="eastAsia" w:ascii="Times New Roman" w:hAnsi="Times New Roman" w:cs="Times New Roman"/>
          <w:sz w:val="20"/>
          <w:szCs w:val="15"/>
          <w:highlight w:val="none"/>
          <w:lang w:eastAsia="zh-CN"/>
        </w:rPr>
        <w:t>RP-202928</w:t>
      </w:r>
      <w:r>
        <w:rPr>
          <w:rFonts w:hint="eastAsia" w:ascii="Times New Roman" w:hAnsi="Times New Roman" w:cs="Times New Roman"/>
          <w:sz w:val="20"/>
          <w:szCs w:val="15"/>
          <w:highlight w:val="none"/>
          <w:lang w:eastAsia="zh-CN"/>
        </w:rPr>
        <w:fldChar w:fldCharType="end"/>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New WID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TR 38.830 V1.0.</w:t>
      </w:r>
      <w:r>
        <w:rPr>
          <w:rFonts w:hint="eastAsia" w:ascii="Times New Roman" w:hAnsi="Times New Roman" w:cs="Times New Roman"/>
          <w:sz w:val="20"/>
          <w:szCs w:val="15"/>
          <w:highlight w:val="none"/>
          <w:lang w:eastAsia="zh-CN"/>
        </w:rPr>
        <w:t>0</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eastAsia="zh-CN"/>
        </w:rPr>
        <w:t>Study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 xml:space="preserve">Release </w:t>
      </w:r>
      <w:bookmarkStart w:id="3" w:name="specRelease"/>
      <w:r>
        <w:rPr>
          <w:rFonts w:hint="default" w:ascii="Times New Roman" w:hAnsi="Times New Roman" w:cs="Times New Roman"/>
          <w:sz w:val="20"/>
          <w:szCs w:val="15"/>
          <w:highlight w:val="none"/>
          <w:lang w:eastAsia="zh-CN"/>
        </w:rPr>
        <w:t>17</w:t>
      </w:r>
      <w:bookmarkEnd w:id="3"/>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2020-12</w:t>
      </w:r>
    </w:p>
    <w:p>
      <w:pPr>
        <w:pStyle w:val="126"/>
        <w:rPr>
          <w:szCs w:val="22"/>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103-</w:t>
      </w:r>
      <w:r>
        <w:rPr>
          <w:rFonts w:hint="default" w:ascii="Times New Roman" w:hAnsi="Times New Roman" w:cs="Times New Roman"/>
          <w:sz w:val="20"/>
          <w:szCs w:val="15"/>
          <w:highlight w:val="none"/>
          <w:lang w:val="en-US" w:eastAsia="zh-CN"/>
        </w:rPr>
        <w:t>e</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R1-200978</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eastAsia="zh-CN"/>
        </w:rPr>
        <w:t>LS on PUCCH and PUSCH repetition</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RAN1</w:t>
      </w:r>
      <w:r>
        <w:rPr>
          <w:rFonts w:hint="eastAsia" w:cs="Times New Roman"/>
          <w:sz w:val="20"/>
          <w:szCs w:val="15"/>
          <w:highlight w:val="none"/>
          <w:lang w:val="en-US" w:eastAsia="zh-CN"/>
        </w:rPr>
        <w:t>.</w:t>
      </w:r>
    </w:p>
    <w:p>
      <w:pPr>
        <w:pStyle w:val="2"/>
        <w:numPr>
          <w:ilvl w:val="0"/>
          <w:numId w:val="0"/>
        </w:numPr>
        <w:rPr>
          <w:szCs w:val="22"/>
          <w:lang w:val="en-US"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lang w:val="en-US" w:eastAsia="zh-CN"/>
        </w:rPr>
        <w:t>inter-slot FH bundling for cross-slot channel estimatio</w:t>
      </w:r>
      <w:r>
        <w:rPr>
          <w:rFonts w:hint="eastAsia"/>
          <w:szCs w:val="20"/>
          <w:lang w:val="en-US" w:eastAsia="zh-CN"/>
        </w:rPr>
        <w:t>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700MHz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shd w:val="clear" w:color="auto" w:fill="auto"/>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4</w:t>
            </w:r>
            <w:r>
              <w:rPr>
                <w:rFonts w:hint="default" w:ascii="Times New Roman" w:hAnsi="Times New Roman" w:cs="Times New Roman"/>
                <w:color w:val="000000"/>
                <w:sz w:val="20"/>
                <w:szCs w:val="20"/>
              </w:rPr>
              <w:t> 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20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15kHz </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4</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0</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r>
        <w:tblPrEx>
          <w:shd w:val="clear" w:color="auto" w:fill="auto"/>
          <w:tblCellMar>
            <w:top w:w="0" w:type="dxa"/>
            <w:left w:w="0" w:type="dxa"/>
            <w:bottom w:w="0" w:type="dxa"/>
            <w:right w:w="0" w:type="dxa"/>
          </w:tblCellMar>
        </w:tblPrEx>
        <w:trPr>
          <w:trHeight w:val="346"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eastAsia="宋体" w:cs="Times New Roman"/>
                <w:color w:val="000000"/>
                <w:sz w:val="20"/>
                <w:szCs w:val="20"/>
                <w:lang w:val="en-US" w:eastAsia="zh-CN"/>
              </w:rPr>
            </w:pPr>
            <w:r>
              <w:rPr>
                <w:rFonts w:hint="eastAsia" w:cs="Times New Roman"/>
                <w:color w:val="000000"/>
                <w:sz w:val="20"/>
                <w:szCs w:val="20"/>
                <w:lang w:val="en-US" w:eastAsia="zh-CN"/>
              </w:rPr>
              <w:t>Hopping RB offset</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sz w:val="20"/>
                <w:szCs w:val="20"/>
                <w:lang w:val="en-US" w:eastAsia="zh-CN"/>
              </w:rPr>
              <w:t>50RBs offset for inter-slot hopping</w:t>
            </w:r>
          </w:p>
        </w:tc>
      </w:tr>
    </w:tbl>
    <w:p>
      <w:pPr>
        <w:rPr>
          <w:szCs w:val="22"/>
          <w:lang w:val="en-US" w:eastAsia="zh-CN"/>
        </w:rPr>
      </w:pP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2</w:t>
      </w:r>
      <w:r>
        <w:rPr>
          <w:szCs w:val="20"/>
          <w:lang w:eastAsia="zh-CN"/>
        </w:rPr>
        <w:t xml:space="preserve"> Simulation assumption for </w:t>
      </w:r>
      <w:r>
        <w:rPr>
          <w:rFonts w:hint="eastAsia"/>
          <w:highlight w:val="none"/>
          <w:lang w:val="en-US" w:eastAsia="zh-CN"/>
        </w:rPr>
        <w:t xml:space="preserve">different </w:t>
      </w:r>
      <w:r>
        <w:rPr>
          <w:rFonts w:hint="eastAsia" w:ascii="Times New Roman" w:hAnsi="Times New Roman" w:cs="Times New Roman"/>
          <w:color w:val="auto"/>
          <w:lang w:val="en-US" w:eastAsia="zh-CN"/>
        </w:rPr>
        <w:t>DMRS patterns</w:t>
      </w:r>
      <w:r>
        <w:rPr>
          <w:rFonts w:hint="eastAsia"/>
          <w:highlight w:val="none"/>
          <w:lang w:val="en-US" w:eastAsia="zh-CN"/>
        </w:rPr>
        <w:t xml:space="preserve"> in the time domain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pPr>
            <w:r>
              <w:rPr>
                <w:rFonts w:hint="default" w:ascii="Times New Roman" w:hAnsi="Times New Roman" w:cs="Times New Roman"/>
                <w:b/>
                <w:color w:val="000000"/>
                <w:sz w:val="20"/>
                <w:szCs w:val="20"/>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cs="Times New Roman"/>
                <w:b/>
                <w:color w:val="000000"/>
                <w:sz w:val="20"/>
                <w:szCs w:val="20"/>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700M</w:t>
            </w:r>
            <w:r>
              <w:rPr>
                <w:rFonts w:hint="eastAsia" w:ascii="Times New Roman" w:hAnsi="Times New Roman" w:cs="Times New Roman"/>
                <w:color w:val="000000"/>
                <w:sz w:val="20"/>
                <w:szCs w:val="20"/>
                <w:lang w:val="en-US" w:eastAsia="zh-CN"/>
              </w:rPr>
              <w:t>Hz</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default" w:ascii="Times New Roman" w:hAnsi="Times New Roman" w:cs="Times New Roman"/>
                <w:color w:val="000000"/>
                <w:sz w:val="20"/>
                <w:szCs w:val="20"/>
              </w:rPr>
              <w:t>TDL-C (delay spread: 300ns) as in 38.901 for </w:t>
            </w:r>
            <w:r>
              <w:rPr>
                <w:rFonts w:hint="eastAsia" w:ascii="Times New Roman" w:hAnsi="Times New Roman" w:cs="Times New Roman"/>
                <w:color w:val="000000"/>
                <w:sz w:val="20"/>
                <w:szCs w:val="20"/>
                <w:lang w:val="en-US" w:eastAsia="zh-CN"/>
              </w:rPr>
              <w:t>R</w:t>
            </w:r>
            <w:r>
              <w:rPr>
                <w:rFonts w:hint="eastAsia" w:ascii="Times New Roman" w:hAnsi="Times New Roman" w:eastAsia="宋体" w:cs="Times New Roman"/>
                <w:color w:val="000000"/>
                <w:sz w:val="20"/>
                <w:szCs w:val="20"/>
                <w:lang w:val="en-US" w:eastAsia="zh-CN"/>
              </w:rPr>
              <w:t>ural scenario</w:t>
            </w:r>
          </w:p>
        </w:tc>
      </w:tr>
      <w:tr>
        <w:tblPrEx>
          <w:shd w:val="clear" w:color="auto" w:fill="auto"/>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3</w:t>
            </w:r>
            <w:r>
              <w:rPr>
                <w:rFonts w:hint="default" w:ascii="Times New Roman" w:hAnsi="Times New Roman" w:cs="Times New Roman"/>
                <w:color w:val="000000"/>
                <w:sz w:val="20"/>
                <w:szCs w:val="20"/>
              </w:rPr>
              <w:t> km/h</w:t>
            </w:r>
            <w:r>
              <w:rPr>
                <w:rFonts w:hint="eastAsia" w:ascii="Times New Roman" w:hAnsi="Times New Roman" w:cs="Times New Roman"/>
                <w:color w:val="000000"/>
                <w:sz w:val="20"/>
                <w:szCs w:val="20"/>
                <w:lang w:val="en-US" w:eastAsia="zh-CN"/>
              </w:rPr>
              <w:t xml:space="preserve"> </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4</w:t>
            </w:r>
            <w:r>
              <w:rPr>
                <w:rFonts w:hint="default" w:ascii="Times New Roman" w:hAnsi="Times New Roman" w:cs="Times New Roman"/>
                <w:color w:val="000000"/>
                <w:sz w:val="20"/>
                <w:szCs w:val="20"/>
              </w:rPr>
              <w:t>Rx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lang w:val="en-US" w:eastAsia="zh-CN"/>
              </w:rPr>
            </w:pPr>
            <w:r>
              <w:rPr>
                <w:rFonts w:hint="eastAsia" w:ascii="Times New Roman" w:hAnsi="Times New Roman" w:cs="Times New Roman"/>
                <w:color w:val="000000"/>
                <w:sz w:val="20"/>
                <w:szCs w:val="20"/>
                <w:lang w:val="en-US" w:eastAsia="zh-CN"/>
              </w:rPr>
              <w:t>1</w:t>
            </w:r>
            <w:r>
              <w:rPr>
                <w:rFonts w:hint="default" w:ascii="Times New Roman" w:hAnsi="Times New Roman" w:cs="Times New Roman"/>
                <w:color w:val="000000"/>
                <w:sz w:val="20"/>
                <w:szCs w:val="20"/>
              </w:rPr>
              <w:t> Tx</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20</w:t>
            </w:r>
            <w:r>
              <w:rPr>
                <w:rFonts w:hint="default" w:ascii="Times New Roman" w:hAnsi="Times New Roman" w:cs="Times New Roman"/>
                <w:color w:val="000000"/>
                <w:sz w:val="20"/>
                <w:szCs w:val="20"/>
              </w:rPr>
              <w:t> MHz</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 xml:space="preserve">15 </w:t>
            </w:r>
            <w:r>
              <w:rPr>
                <w:rFonts w:hint="default" w:ascii="Times New Roman" w:hAnsi="Times New Roman" w:cs="Times New Roman"/>
                <w:color w:val="000000"/>
                <w:sz w:val="20"/>
                <w:szCs w:val="20"/>
              </w:rPr>
              <w:t>kHz </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4</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rPr>
            </w:pPr>
            <w:r>
              <w:rPr>
                <w:rFonts w:hint="eastAsia" w:ascii="Times New Roman" w:hAnsi="Times New Roman" w:cs="Times New Roman"/>
                <w:color w:val="000000"/>
                <w:sz w:val="20"/>
                <w:szCs w:val="20"/>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lang w:val="en-US"/>
              </w:rPr>
            </w:pPr>
            <w:r>
              <w:rPr>
                <w:rFonts w:hint="eastAsia" w:cs="Times New Roman"/>
                <w:color w:val="000000"/>
                <w:sz w:val="20"/>
                <w:szCs w:val="20"/>
                <w:lang w:val="en-US" w:eastAsia="zh-CN"/>
              </w:rPr>
              <w:t>0/1</w:t>
            </w:r>
          </w:p>
        </w:tc>
      </w:tr>
      <w:tr>
        <w:tblPrEx>
          <w:shd w:val="clear" w:color="auto" w:fill="auto"/>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DFT-s-OFDM</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14 (PUSCH mapping type A)</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eastAsia" w:cs="Times New Roman"/>
                <w:color w:val="000000"/>
                <w:sz w:val="20"/>
                <w:szCs w:val="20"/>
                <w:lang w:val="en-US" w:eastAsia="zh-CN"/>
              </w:rPr>
              <w:t>1/</w:t>
            </w:r>
            <w:r>
              <w:rPr>
                <w:rFonts w:hint="eastAsia" w:ascii="Times New Roman" w:hAnsi="Times New Roman" w:cs="Times New Roman"/>
                <w:color w:val="000000"/>
                <w:sz w:val="20"/>
                <w:szCs w:val="20"/>
                <w:lang w:val="en-US" w:eastAsia="zh-CN"/>
              </w:rPr>
              <w:t>2</w:t>
            </w:r>
            <w:r>
              <w:rPr>
                <w:rFonts w:hint="default" w:ascii="Times New Roman" w:hAnsi="Times New Roman" w:cs="Times New Roman"/>
                <w:color w:val="000000"/>
                <w:sz w:val="20"/>
                <w:szCs w:val="20"/>
              </w:rPr>
              <w:t> DMRS symbol</w:t>
            </w:r>
            <w:r>
              <w:rPr>
                <w:rFonts w:hint="eastAsia" w:ascii="Times New Roman" w:hAnsi="Times New Roman" w:cs="Times New Roman"/>
                <w:color w:val="000000"/>
                <w:sz w:val="20"/>
                <w:szCs w:val="20"/>
                <w:lang w:val="en-US" w:eastAsia="zh-CN"/>
              </w:rPr>
              <w:t>s</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lang w:val="en-US" w:eastAsia="zh-CN"/>
              </w:rPr>
            </w:pPr>
            <w:r>
              <w:rPr>
                <w:rFonts w:hint="eastAsia" w:ascii="Times New Roman" w:hAnsi="Times New Roman" w:cs="Times New Roman"/>
                <w:color w:val="000000"/>
                <w:sz w:val="20"/>
                <w:szCs w:val="20"/>
                <w:lang w:val="en-US" w:eastAsia="zh-CN"/>
              </w:rPr>
              <w:t xml:space="preserve">8 </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pPr>
            <w:r>
              <w:rPr>
                <w:rFonts w:hint="default" w:ascii="Times New Roman" w:hAnsi="Times New Roman" w:cs="Times New Roman"/>
                <w:color w:val="000000"/>
                <w:sz w:val="20"/>
                <w:szCs w:val="20"/>
              </w:rPr>
              <w:t>Enabled </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Practical</w:t>
            </w:r>
          </w:p>
        </w:tc>
      </w:tr>
      <w:tr>
        <w:tblPrEx>
          <w:shd w:val="clear" w:color="auto" w:fill="auto"/>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sz w:val="20"/>
                <w:szCs w:val="20"/>
              </w:rPr>
            </w:pPr>
            <w:r>
              <w:rPr>
                <w:rFonts w:hint="default" w:ascii="Times New Roman" w:hAnsi="Times New Roman" w:cs="Times New Roman"/>
                <w:color w:val="000000"/>
                <w:sz w:val="20"/>
                <w:szCs w:val="20"/>
              </w:rPr>
              <w:t>MMSE</w:t>
            </w:r>
          </w:p>
        </w:tc>
      </w:tr>
    </w:tbl>
    <w:p>
      <w:pPr>
        <w:rPr>
          <w:szCs w:val="22"/>
          <w:lang w:val="en-US" w:eastAsia="zh-CN"/>
        </w:rPr>
      </w:pP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96E7A7"/>
    <w:multiLevelType w:val="singleLevel"/>
    <w:tmpl w:val="B396E7A7"/>
    <w:lvl w:ilvl="0" w:tentative="0">
      <w:start w:val="1"/>
      <w:numFmt w:val="bullet"/>
      <w:lvlText w:val=""/>
      <w:lvlJc w:val="left"/>
      <w:pPr>
        <w:tabs>
          <w:tab w:val="left" w:pos="420"/>
        </w:tabs>
        <w:ind w:left="840" w:hanging="420"/>
      </w:pPr>
      <w:rPr>
        <w:rFonts w:hint="default" w:ascii="Wingdings" w:hAnsi="Wingdings"/>
      </w:rPr>
    </w:lvl>
  </w:abstractNum>
  <w:abstractNum w:abstractNumId="1">
    <w:nsid w:val="D812E99F"/>
    <w:multiLevelType w:val="singleLevel"/>
    <w:tmpl w:val="D812E99F"/>
    <w:lvl w:ilvl="0" w:tentative="0">
      <w:start w:val="1"/>
      <w:numFmt w:val="bullet"/>
      <w:lvlText w:val=""/>
      <w:lvlJc w:val="left"/>
      <w:pPr>
        <w:tabs>
          <w:tab w:val="left" w:pos="420"/>
        </w:tabs>
        <w:ind w:left="840" w:hanging="420"/>
      </w:pPr>
      <w:rPr>
        <w:rFonts w:hint="default" w:ascii="Wingdings" w:hAnsi="Wingdings"/>
      </w:rPr>
    </w:lvl>
  </w:abstractNum>
  <w:abstractNum w:abstractNumId="2">
    <w:nsid w:val="EE034ED5"/>
    <w:multiLevelType w:val="singleLevel"/>
    <w:tmpl w:val="EE034ED5"/>
    <w:lvl w:ilvl="0" w:tentative="0">
      <w:start w:val="1"/>
      <w:numFmt w:val="bullet"/>
      <w:lvlText w:val=""/>
      <w:lvlJc w:val="left"/>
      <w:pPr>
        <w:tabs>
          <w:tab w:val="left" w:pos="420"/>
        </w:tabs>
        <w:ind w:left="840" w:hanging="420"/>
      </w:pPr>
      <w:rPr>
        <w:rFonts w:hint="default" w:ascii="Wingdings" w:hAnsi="Wingdings"/>
      </w:rPr>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0C507ABC"/>
    <w:multiLevelType w:val="multilevel"/>
    <w:tmpl w:val="0C507ABC"/>
    <w:lvl w:ilvl="0" w:tentative="0">
      <w:start w:val="1"/>
      <w:numFmt w:val="bullet"/>
      <w:lvlText w:val=""/>
      <w:lvlJc w:val="left"/>
      <w:pPr>
        <w:tabs>
          <w:tab w:val="left" w:pos="300"/>
        </w:tabs>
        <w:ind w:left="300" w:hanging="360"/>
      </w:pPr>
      <w:rPr>
        <w:rFonts w:hint="default" w:ascii="Wingdings" w:hAnsi="Wingdings"/>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color w:val="auto"/>
      </w:rPr>
    </w:lvl>
    <w:lvl w:ilvl="3" w:tentative="0">
      <w:start w:val="1"/>
      <w:numFmt w:val="bullet"/>
      <w:lvlText w:val="o"/>
      <w:lvlJc w:val="left"/>
      <w:pPr>
        <w:tabs>
          <w:tab w:val="left" w:pos="2460"/>
        </w:tabs>
        <w:ind w:left="2460" w:hanging="360"/>
      </w:pPr>
      <w:rPr>
        <w:rFonts w:hint="default" w:ascii="Courier New" w:hAnsi="Courier New" w:cs="Courier New"/>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abstractNum w:abstractNumId="5">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2EDD55D4"/>
    <w:multiLevelType w:val="singleLevel"/>
    <w:tmpl w:val="2EDD55D4"/>
    <w:lvl w:ilvl="0" w:tentative="0">
      <w:start w:val="1"/>
      <w:numFmt w:val="bullet"/>
      <w:lvlText w:val=""/>
      <w:lvlJc w:val="left"/>
      <w:pPr>
        <w:tabs>
          <w:tab w:val="left" w:pos="420"/>
        </w:tabs>
        <w:ind w:left="840" w:hanging="420"/>
      </w:pPr>
      <w:rPr>
        <w:rFonts w:hint="default" w:ascii="Wingdings" w:hAnsi="Wingdings"/>
      </w:rPr>
    </w:lvl>
  </w:abstractNum>
  <w:abstractNum w:abstractNumId="8">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6"/>
  </w:num>
  <w:num w:numId="3">
    <w:abstractNumId w:val="11"/>
  </w:num>
  <w:num w:numId="4">
    <w:abstractNumId w:val="9"/>
  </w:num>
  <w:num w:numId="5">
    <w:abstractNumId w:val="13"/>
  </w:num>
  <w:num w:numId="6">
    <w:abstractNumId w:val="10"/>
  </w:num>
  <w:num w:numId="7">
    <w:abstractNumId w:val="8"/>
  </w:num>
  <w:num w:numId="8">
    <w:abstractNumId w:val="12"/>
  </w:num>
  <w:num w:numId="9">
    <w:abstractNumId w:val="5"/>
  </w:num>
  <w:num w:numId="10">
    <w:abstractNumId w:val="4"/>
  </w:num>
  <w:num w:numId="11">
    <w:abstractNumId w:val="1"/>
  </w:num>
  <w:num w:numId="12">
    <w:abstractNumId w:val="2"/>
  </w:num>
  <w:num w:numId="13">
    <w:abstractNumId w:val="7"/>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0E1E"/>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1A71B2"/>
    <w:rsid w:val="012227BC"/>
    <w:rsid w:val="012361AD"/>
    <w:rsid w:val="013E6BC5"/>
    <w:rsid w:val="013F7A03"/>
    <w:rsid w:val="015712C6"/>
    <w:rsid w:val="016402CE"/>
    <w:rsid w:val="01C37AF8"/>
    <w:rsid w:val="01C43939"/>
    <w:rsid w:val="01EB3A92"/>
    <w:rsid w:val="02132759"/>
    <w:rsid w:val="02627A10"/>
    <w:rsid w:val="026A6ED2"/>
    <w:rsid w:val="02737E73"/>
    <w:rsid w:val="02811D65"/>
    <w:rsid w:val="0284643E"/>
    <w:rsid w:val="02A7170F"/>
    <w:rsid w:val="02CB1826"/>
    <w:rsid w:val="02E51F96"/>
    <w:rsid w:val="03023110"/>
    <w:rsid w:val="03532C3F"/>
    <w:rsid w:val="035E745C"/>
    <w:rsid w:val="035F79EB"/>
    <w:rsid w:val="036A2B26"/>
    <w:rsid w:val="036D6407"/>
    <w:rsid w:val="03B25C4C"/>
    <w:rsid w:val="03D12146"/>
    <w:rsid w:val="03D24EAD"/>
    <w:rsid w:val="03F94E83"/>
    <w:rsid w:val="03FC4856"/>
    <w:rsid w:val="041C778B"/>
    <w:rsid w:val="04345173"/>
    <w:rsid w:val="04706353"/>
    <w:rsid w:val="047E59D0"/>
    <w:rsid w:val="048B7799"/>
    <w:rsid w:val="048F11FF"/>
    <w:rsid w:val="04B72387"/>
    <w:rsid w:val="04C44F23"/>
    <w:rsid w:val="04E5211F"/>
    <w:rsid w:val="050D4324"/>
    <w:rsid w:val="05177B13"/>
    <w:rsid w:val="051849BA"/>
    <w:rsid w:val="06045E70"/>
    <w:rsid w:val="060A4922"/>
    <w:rsid w:val="06201A31"/>
    <w:rsid w:val="06360315"/>
    <w:rsid w:val="06677692"/>
    <w:rsid w:val="066F4060"/>
    <w:rsid w:val="067D4C1C"/>
    <w:rsid w:val="06957531"/>
    <w:rsid w:val="069A1D58"/>
    <w:rsid w:val="06B127E5"/>
    <w:rsid w:val="06D837B6"/>
    <w:rsid w:val="0705530E"/>
    <w:rsid w:val="07067712"/>
    <w:rsid w:val="070E2577"/>
    <w:rsid w:val="072F2729"/>
    <w:rsid w:val="07722C34"/>
    <w:rsid w:val="077E7782"/>
    <w:rsid w:val="078903C0"/>
    <w:rsid w:val="078F6F15"/>
    <w:rsid w:val="07A9580A"/>
    <w:rsid w:val="07B35775"/>
    <w:rsid w:val="07C21FA9"/>
    <w:rsid w:val="07CC47E9"/>
    <w:rsid w:val="07D06D7A"/>
    <w:rsid w:val="07DD5AB3"/>
    <w:rsid w:val="0811778C"/>
    <w:rsid w:val="08166EC2"/>
    <w:rsid w:val="082E2D58"/>
    <w:rsid w:val="08476CF8"/>
    <w:rsid w:val="08763D35"/>
    <w:rsid w:val="08891F5A"/>
    <w:rsid w:val="088D57DF"/>
    <w:rsid w:val="08A871B9"/>
    <w:rsid w:val="092A0C39"/>
    <w:rsid w:val="0957797D"/>
    <w:rsid w:val="096B6A5A"/>
    <w:rsid w:val="096E57BA"/>
    <w:rsid w:val="0972706B"/>
    <w:rsid w:val="09860267"/>
    <w:rsid w:val="098678CD"/>
    <w:rsid w:val="09A342F4"/>
    <w:rsid w:val="09C21BB6"/>
    <w:rsid w:val="0A046E11"/>
    <w:rsid w:val="0A1460B8"/>
    <w:rsid w:val="0A696BD7"/>
    <w:rsid w:val="0A836111"/>
    <w:rsid w:val="0AFC60B7"/>
    <w:rsid w:val="0B6F6E61"/>
    <w:rsid w:val="0B820D65"/>
    <w:rsid w:val="0BAD56E4"/>
    <w:rsid w:val="0BAD7041"/>
    <w:rsid w:val="0BC96A4E"/>
    <w:rsid w:val="0C1551CE"/>
    <w:rsid w:val="0C1906EE"/>
    <w:rsid w:val="0C1B4F3E"/>
    <w:rsid w:val="0C56233F"/>
    <w:rsid w:val="0C654E67"/>
    <w:rsid w:val="0C6F5654"/>
    <w:rsid w:val="0CB77457"/>
    <w:rsid w:val="0CDE5204"/>
    <w:rsid w:val="0CE24B83"/>
    <w:rsid w:val="0CE37C3D"/>
    <w:rsid w:val="0CE50ED4"/>
    <w:rsid w:val="0CFC3DE6"/>
    <w:rsid w:val="0D132BA9"/>
    <w:rsid w:val="0D595617"/>
    <w:rsid w:val="0D660AC2"/>
    <w:rsid w:val="0D672BF6"/>
    <w:rsid w:val="0D9B5959"/>
    <w:rsid w:val="0DC10615"/>
    <w:rsid w:val="0DCE068D"/>
    <w:rsid w:val="0DDC43A1"/>
    <w:rsid w:val="0E120AD5"/>
    <w:rsid w:val="0E3754E8"/>
    <w:rsid w:val="0E8829D1"/>
    <w:rsid w:val="0E933444"/>
    <w:rsid w:val="0E9A4B90"/>
    <w:rsid w:val="0EA33BDF"/>
    <w:rsid w:val="0EB06FFE"/>
    <w:rsid w:val="0EDE7F8B"/>
    <w:rsid w:val="0EEC1999"/>
    <w:rsid w:val="0EEE3958"/>
    <w:rsid w:val="0EF57D78"/>
    <w:rsid w:val="0F0A50A1"/>
    <w:rsid w:val="0F0B53C7"/>
    <w:rsid w:val="0F1D01AC"/>
    <w:rsid w:val="0F26446A"/>
    <w:rsid w:val="0F2A272E"/>
    <w:rsid w:val="0F41694C"/>
    <w:rsid w:val="0F50677D"/>
    <w:rsid w:val="0F632621"/>
    <w:rsid w:val="0F6A048C"/>
    <w:rsid w:val="0F88391E"/>
    <w:rsid w:val="0F973CB6"/>
    <w:rsid w:val="0F9C16C6"/>
    <w:rsid w:val="0FB56F6D"/>
    <w:rsid w:val="0FC166A9"/>
    <w:rsid w:val="0FCB7C2D"/>
    <w:rsid w:val="0FF769DE"/>
    <w:rsid w:val="0FFB1095"/>
    <w:rsid w:val="10150A41"/>
    <w:rsid w:val="101828E5"/>
    <w:rsid w:val="101B366C"/>
    <w:rsid w:val="102D15F4"/>
    <w:rsid w:val="102E2A5D"/>
    <w:rsid w:val="1042638F"/>
    <w:rsid w:val="1051081F"/>
    <w:rsid w:val="10587DFC"/>
    <w:rsid w:val="107E5DD9"/>
    <w:rsid w:val="10A655E0"/>
    <w:rsid w:val="10BE60B3"/>
    <w:rsid w:val="10D80AE3"/>
    <w:rsid w:val="11087971"/>
    <w:rsid w:val="11373F4A"/>
    <w:rsid w:val="11653C6F"/>
    <w:rsid w:val="117E25DB"/>
    <w:rsid w:val="11872682"/>
    <w:rsid w:val="11A1313E"/>
    <w:rsid w:val="11B51939"/>
    <w:rsid w:val="11C86361"/>
    <w:rsid w:val="1257267A"/>
    <w:rsid w:val="126307F9"/>
    <w:rsid w:val="1276223F"/>
    <w:rsid w:val="12872AEB"/>
    <w:rsid w:val="12A472D8"/>
    <w:rsid w:val="12B47087"/>
    <w:rsid w:val="12DE4561"/>
    <w:rsid w:val="12FE321B"/>
    <w:rsid w:val="130859B8"/>
    <w:rsid w:val="135349F3"/>
    <w:rsid w:val="1380021A"/>
    <w:rsid w:val="13B80F55"/>
    <w:rsid w:val="13DD66A2"/>
    <w:rsid w:val="13E02871"/>
    <w:rsid w:val="13EC37B2"/>
    <w:rsid w:val="13ED6885"/>
    <w:rsid w:val="14054947"/>
    <w:rsid w:val="14130F08"/>
    <w:rsid w:val="141E57EB"/>
    <w:rsid w:val="141F2191"/>
    <w:rsid w:val="14251812"/>
    <w:rsid w:val="14380455"/>
    <w:rsid w:val="14383975"/>
    <w:rsid w:val="143C29C7"/>
    <w:rsid w:val="14497411"/>
    <w:rsid w:val="1468466F"/>
    <w:rsid w:val="146F482D"/>
    <w:rsid w:val="148C0174"/>
    <w:rsid w:val="14970691"/>
    <w:rsid w:val="14A47EC8"/>
    <w:rsid w:val="14B665CE"/>
    <w:rsid w:val="14C1786E"/>
    <w:rsid w:val="14C56175"/>
    <w:rsid w:val="14E31B16"/>
    <w:rsid w:val="14ED3A29"/>
    <w:rsid w:val="15043BF5"/>
    <w:rsid w:val="152A300E"/>
    <w:rsid w:val="154C13BE"/>
    <w:rsid w:val="1575AEB2"/>
    <w:rsid w:val="1579497C"/>
    <w:rsid w:val="15824EE1"/>
    <w:rsid w:val="159D64FD"/>
    <w:rsid w:val="15CC20E6"/>
    <w:rsid w:val="15D73E7F"/>
    <w:rsid w:val="15E27CDC"/>
    <w:rsid w:val="15EE136C"/>
    <w:rsid w:val="162C0344"/>
    <w:rsid w:val="162E3333"/>
    <w:rsid w:val="164F7F6D"/>
    <w:rsid w:val="165D61C4"/>
    <w:rsid w:val="165E068A"/>
    <w:rsid w:val="16932881"/>
    <w:rsid w:val="16A10349"/>
    <w:rsid w:val="16C17B9C"/>
    <w:rsid w:val="16DB48B1"/>
    <w:rsid w:val="16F003E9"/>
    <w:rsid w:val="1702D3F2"/>
    <w:rsid w:val="17214315"/>
    <w:rsid w:val="173F091A"/>
    <w:rsid w:val="17EA2458"/>
    <w:rsid w:val="17FF2D76"/>
    <w:rsid w:val="18096282"/>
    <w:rsid w:val="180B054C"/>
    <w:rsid w:val="181B05A2"/>
    <w:rsid w:val="181B0B92"/>
    <w:rsid w:val="182F35F1"/>
    <w:rsid w:val="188D2058"/>
    <w:rsid w:val="1897380A"/>
    <w:rsid w:val="18B266E2"/>
    <w:rsid w:val="18BA7603"/>
    <w:rsid w:val="18BF6882"/>
    <w:rsid w:val="18DD0F11"/>
    <w:rsid w:val="18FD3F86"/>
    <w:rsid w:val="190769D0"/>
    <w:rsid w:val="19156649"/>
    <w:rsid w:val="192000D8"/>
    <w:rsid w:val="192B740B"/>
    <w:rsid w:val="19481FB4"/>
    <w:rsid w:val="19654572"/>
    <w:rsid w:val="19AB52FB"/>
    <w:rsid w:val="19CB7127"/>
    <w:rsid w:val="19CF5864"/>
    <w:rsid w:val="19F06EF8"/>
    <w:rsid w:val="19FA6F86"/>
    <w:rsid w:val="1A1C5725"/>
    <w:rsid w:val="1A2F55A6"/>
    <w:rsid w:val="1A514204"/>
    <w:rsid w:val="1AB87FE6"/>
    <w:rsid w:val="1AC801D1"/>
    <w:rsid w:val="1AD51B6B"/>
    <w:rsid w:val="1AE36C7F"/>
    <w:rsid w:val="1AFA2BB6"/>
    <w:rsid w:val="1B2146E0"/>
    <w:rsid w:val="1B2E6DC7"/>
    <w:rsid w:val="1B300BF9"/>
    <w:rsid w:val="1B4E3AF0"/>
    <w:rsid w:val="1B5316CE"/>
    <w:rsid w:val="1B5E59D2"/>
    <w:rsid w:val="1B7022F5"/>
    <w:rsid w:val="1B742209"/>
    <w:rsid w:val="1B9F7ADA"/>
    <w:rsid w:val="1BCB22F0"/>
    <w:rsid w:val="1BDC2DFC"/>
    <w:rsid w:val="1C2168C5"/>
    <w:rsid w:val="1C520FD9"/>
    <w:rsid w:val="1C766428"/>
    <w:rsid w:val="1C921230"/>
    <w:rsid w:val="1CB626A2"/>
    <w:rsid w:val="1CC02EEB"/>
    <w:rsid w:val="1D033E4C"/>
    <w:rsid w:val="1D2355A7"/>
    <w:rsid w:val="1D465FAC"/>
    <w:rsid w:val="1D833CB2"/>
    <w:rsid w:val="1DD50930"/>
    <w:rsid w:val="1DE7561E"/>
    <w:rsid w:val="1DF407BB"/>
    <w:rsid w:val="1E0C4688"/>
    <w:rsid w:val="1E38003B"/>
    <w:rsid w:val="1E9F2838"/>
    <w:rsid w:val="1EA12998"/>
    <w:rsid w:val="1EA41854"/>
    <w:rsid w:val="1EB815C1"/>
    <w:rsid w:val="1ED850F3"/>
    <w:rsid w:val="1EE10D08"/>
    <w:rsid w:val="1F391D93"/>
    <w:rsid w:val="1F4108BC"/>
    <w:rsid w:val="1F431B3E"/>
    <w:rsid w:val="1F850095"/>
    <w:rsid w:val="1FB91CD0"/>
    <w:rsid w:val="1FCE0CEA"/>
    <w:rsid w:val="1FE41590"/>
    <w:rsid w:val="1FE437B8"/>
    <w:rsid w:val="1FEB5923"/>
    <w:rsid w:val="2013006C"/>
    <w:rsid w:val="2020677D"/>
    <w:rsid w:val="20275F86"/>
    <w:rsid w:val="20321F1E"/>
    <w:rsid w:val="20371EBA"/>
    <w:rsid w:val="20444561"/>
    <w:rsid w:val="204559CC"/>
    <w:rsid w:val="206262A6"/>
    <w:rsid w:val="20910CB1"/>
    <w:rsid w:val="20BA2550"/>
    <w:rsid w:val="20CD42FE"/>
    <w:rsid w:val="20E65374"/>
    <w:rsid w:val="21035A99"/>
    <w:rsid w:val="21282288"/>
    <w:rsid w:val="21886DCE"/>
    <w:rsid w:val="21B15D7D"/>
    <w:rsid w:val="21BA773D"/>
    <w:rsid w:val="220E7D51"/>
    <w:rsid w:val="22161566"/>
    <w:rsid w:val="222143B0"/>
    <w:rsid w:val="222575BE"/>
    <w:rsid w:val="2241276D"/>
    <w:rsid w:val="225377A9"/>
    <w:rsid w:val="227C2684"/>
    <w:rsid w:val="227C2816"/>
    <w:rsid w:val="22B5264A"/>
    <w:rsid w:val="22C22FF5"/>
    <w:rsid w:val="22CC5F9F"/>
    <w:rsid w:val="22F03980"/>
    <w:rsid w:val="22F87880"/>
    <w:rsid w:val="22FE2795"/>
    <w:rsid w:val="231E4B98"/>
    <w:rsid w:val="232D30A1"/>
    <w:rsid w:val="235E0DFF"/>
    <w:rsid w:val="23680C07"/>
    <w:rsid w:val="236959BD"/>
    <w:rsid w:val="238B15F3"/>
    <w:rsid w:val="239E142D"/>
    <w:rsid w:val="23AF7CBB"/>
    <w:rsid w:val="23BD1EF4"/>
    <w:rsid w:val="23C657B0"/>
    <w:rsid w:val="23D61A36"/>
    <w:rsid w:val="24374882"/>
    <w:rsid w:val="244B7353"/>
    <w:rsid w:val="245870DE"/>
    <w:rsid w:val="247247A7"/>
    <w:rsid w:val="2473146A"/>
    <w:rsid w:val="247915E5"/>
    <w:rsid w:val="24970A67"/>
    <w:rsid w:val="24990B16"/>
    <w:rsid w:val="24D0128B"/>
    <w:rsid w:val="24F0460A"/>
    <w:rsid w:val="250E5B71"/>
    <w:rsid w:val="2560279C"/>
    <w:rsid w:val="257A7D01"/>
    <w:rsid w:val="25A0147F"/>
    <w:rsid w:val="25A66ECF"/>
    <w:rsid w:val="26152CC2"/>
    <w:rsid w:val="26166BCB"/>
    <w:rsid w:val="261B156F"/>
    <w:rsid w:val="262045A2"/>
    <w:rsid w:val="26230FC6"/>
    <w:rsid w:val="26276462"/>
    <w:rsid w:val="264D17ED"/>
    <w:rsid w:val="264D75E5"/>
    <w:rsid w:val="267C010D"/>
    <w:rsid w:val="26AF1303"/>
    <w:rsid w:val="26EC778D"/>
    <w:rsid w:val="26EE7123"/>
    <w:rsid w:val="26F15181"/>
    <w:rsid w:val="26F60EF2"/>
    <w:rsid w:val="271411D6"/>
    <w:rsid w:val="272C1CCE"/>
    <w:rsid w:val="27323917"/>
    <w:rsid w:val="274D75F4"/>
    <w:rsid w:val="27847B8F"/>
    <w:rsid w:val="27864A32"/>
    <w:rsid w:val="27C33078"/>
    <w:rsid w:val="27C5366D"/>
    <w:rsid w:val="27DD67CA"/>
    <w:rsid w:val="27EF2DBE"/>
    <w:rsid w:val="27FA44E9"/>
    <w:rsid w:val="282D7FED"/>
    <w:rsid w:val="28621255"/>
    <w:rsid w:val="28690808"/>
    <w:rsid w:val="28B07E55"/>
    <w:rsid w:val="28B54AA2"/>
    <w:rsid w:val="28BC1634"/>
    <w:rsid w:val="28C77C30"/>
    <w:rsid w:val="290D04CF"/>
    <w:rsid w:val="291B6B03"/>
    <w:rsid w:val="294D7F95"/>
    <w:rsid w:val="295A76BB"/>
    <w:rsid w:val="295B3766"/>
    <w:rsid w:val="297F342E"/>
    <w:rsid w:val="2A0F0B23"/>
    <w:rsid w:val="2A0F0C79"/>
    <w:rsid w:val="2A2F123E"/>
    <w:rsid w:val="2A71440E"/>
    <w:rsid w:val="2A893D90"/>
    <w:rsid w:val="2A932738"/>
    <w:rsid w:val="2A9A305C"/>
    <w:rsid w:val="2A9D552B"/>
    <w:rsid w:val="2AC471E3"/>
    <w:rsid w:val="2ACB1712"/>
    <w:rsid w:val="2ADB7BBC"/>
    <w:rsid w:val="2AF443C4"/>
    <w:rsid w:val="2AFE2B7E"/>
    <w:rsid w:val="2B1A73FE"/>
    <w:rsid w:val="2B26248E"/>
    <w:rsid w:val="2B3D2815"/>
    <w:rsid w:val="2B3F1C6E"/>
    <w:rsid w:val="2B527EC9"/>
    <w:rsid w:val="2B8B5508"/>
    <w:rsid w:val="2BB25377"/>
    <w:rsid w:val="2BBF4914"/>
    <w:rsid w:val="2BDE1872"/>
    <w:rsid w:val="2BDF29BF"/>
    <w:rsid w:val="2BE142ED"/>
    <w:rsid w:val="2C0A5F12"/>
    <w:rsid w:val="2CB23183"/>
    <w:rsid w:val="2CC8533D"/>
    <w:rsid w:val="2CF04E98"/>
    <w:rsid w:val="2D031B9C"/>
    <w:rsid w:val="2D0E0A00"/>
    <w:rsid w:val="2D245BB9"/>
    <w:rsid w:val="2D376513"/>
    <w:rsid w:val="2D3F2C8E"/>
    <w:rsid w:val="2D470923"/>
    <w:rsid w:val="2D4D0E21"/>
    <w:rsid w:val="2D694FE4"/>
    <w:rsid w:val="2D8A6FF6"/>
    <w:rsid w:val="2DC3344C"/>
    <w:rsid w:val="2DC863F1"/>
    <w:rsid w:val="2DD75F85"/>
    <w:rsid w:val="2DFB41DC"/>
    <w:rsid w:val="2E2C1699"/>
    <w:rsid w:val="2E350033"/>
    <w:rsid w:val="2E4827D9"/>
    <w:rsid w:val="2E5F4D48"/>
    <w:rsid w:val="2E6D6806"/>
    <w:rsid w:val="2E7F1DC7"/>
    <w:rsid w:val="2E930D3B"/>
    <w:rsid w:val="2E9F0957"/>
    <w:rsid w:val="2EB72406"/>
    <w:rsid w:val="2EDE7813"/>
    <w:rsid w:val="2F233209"/>
    <w:rsid w:val="2F2367DE"/>
    <w:rsid w:val="2F563AE6"/>
    <w:rsid w:val="2FB20A15"/>
    <w:rsid w:val="2FC3627E"/>
    <w:rsid w:val="2FC864B4"/>
    <w:rsid w:val="2FD27D5B"/>
    <w:rsid w:val="2FDF41BB"/>
    <w:rsid w:val="2FF91044"/>
    <w:rsid w:val="302901BE"/>
    <w:rsid w:val="30497C87"/>
    <w:rsid w:val="304B7C60"/>
    <w:rsid w:val="30540837"/>
    <w:rsid w:val="3055096E"/>
    <w:rsid w:val="306A4FC0"/>
    <w:rsid w:val="30E55D82"/>
    <w:rsid w:val="30EC5CC6"/>
    <w:rsid w:val="30FA3AD1"/>
    <w:rsid w:val="30FB19DC"/>
    <w:rsid w:val="3107240D"/>
    <w:rsid w:val="31195FCB"/>
    <w:rsid w:val="31300FEA"/>
    <w:rsid w:val="31542D3B"/>
    <w:rsid w:val="315E3DF0"/>
    <w:rsid w:val="3166748C"/>
    <w:rsid w:val="318F3FEA"/>
    <w:rsid w:val="31900E67"/>
    <w:rsid w:val="31BE3494"/>
    <w:rsid w:val="32303C08"/>
    <w:rsid w:val="324568C8"/>
    <w:rsid w:val="324F2751"/>
    <w:rsid w:val="325F048D"/>
    <w:rsid w:val="32654F49"/>
    <w:rsid w:val="32832752"/>
    <w:rsid w:val="329C47CD"/>
    <w:rsid w:val="32FE23BF"/>
    <w:rsid w:val="330E6893"/>
    <w:rsid w:val="33952426"/>
    <w:rsid w:val="33A64B18"/>
    <w:rsid w:val="33DE0CB9"/>
    <w:rsid w:val="33EC1A91"/>
    <w:rsid w:val="33FB7AC8"/>
    <w:rsid w:val="34193BDF"/>
    <w:rsid w:val="344277BC"/>
    <w:rsid w:val="344F7A97"/>
    <w:rsid w:val="34586101"/>
    <w:rsid w:val="34602A05"/>
    <w:rsid w:val="346620C8"/>
    <w:rsid w:val="34680CAF"/>
    <w:rsid w:val="347744AE"/>
    <w:rsid w:val="34833C4B"/>
    <w:rsid w:val="34A45723"/>
    <w:rsid w:val="34AB7E73"/>
    <w:rsid w:val="34B611BC"/>
    <w:rsid w:val="34CC2CE0"/>
    <w:rsid w:val="3511129D"/>
    <w:rsid w:val="356A1C6B"/>
    <w:rsid w:val="35742CCA"/>
    <w:rsid w:val="35911F22"/>
    <w:rsid w:val="359455FE"/>
    <w:rsid w:val="35AA4923"/>
    <w:rsid w:val="35AD236E"/>
    <w:rsid w:val="35E37771"/>
    <w:rsid w:val="35EF263E"/>
    <w:rsid w:val="36091FD3"/>
    <w:rsid w:val="36183C1A"/>
    <w:rsid w:val="36714B62"/>
    <w:rsid w:val="369176E7"/>
    <w:rsid w:val="3694127A"/>
    <w:rsid w:val="369E1484"/>
    <w:rsid w:val="36B2085C"/>
    <w:rsid w:val="36B43102"/>
    <w:rsid w:val="36C1335D"/>
    <w:rsid w:val="36CD07B0"/>
    <w:rsid w:val="372201DB"/>
    <w:rsid w:val="37282390"/>
    <w:rsid w:val="373242C4"/>
    <w:rsid w:val="37340EF6"/>
    <w:rsid w:val="373E20CB"/>
    <w:rsid w:val="374B60EF"/>
    <w:rsid w:val="374E25F7"/>
    <w:rsid w:val="37514821"/>
    <w:rsid w:val="375A6ED3"/>
    <w:rsid w:val="375C57D7"/>
    <w:rsid w:val="37CB3A11"/>
    <w:rsid w:val="37DD651E"/>
    <w:rsid w:val="38084106"/>
    <w:rsid w:val="3815223D"/>
    <w:rsid w:val="381A51F4"/>
    <w:rsid w:val="3823131E"/>
    <w:rsid w:val="383B0423"/>
    <w:rsid w:val="386C5C36"/>
    <w:rsid w:val="388A060E"/>
    <w:rsid w:val="38B17F01"/>
    <w:rsid w:val="38BA113F"/>
    <w:rsid w:val="38F53BAE"/>
    <w:rsid w:val="391B4947"/>
    <w:rsid w:val="39205BF2"/>
    <w:rsid w:val="392806A3"/>
    <w:rsid w:val="39362F4F"/>
    <w:rsid w:val="397347DF"/>
    <w:rsid w:val="39796115"/>
    <w:rsid w:val="39AD6E99"/>
    <w:rsid w:val="39BB105A"/>
    <w:rsid w:val="39EB03B3"/>
    <w:rsid w:val="39ED0B9E"/>
    <w:rsid w:val="39FB3554"/>
    <w:rsid w:val="3A135075"/>
    <w:rsid w:val="3A67157A"/>
    <w:rsid w:val="3A8424B5"/>
    <w:rsid w:val="3A857D28"/>
    <w:rsid w:val="3A9A43F1"/>
    <w:rsid w:val="3AA12DFF"/>
    <w:rsid w:val="3AB31D0C"/>
    <w:rsid w:val="3AC0587C"/>
    <w:rsid w:val="3B0E5515"/>
    <w:rsid w:val="3B3418DA"/>
    <w:rsid w:val="3B380971"/>
    <w:rsid w:val="3B3E48C1"/>
    <w:rsid w:val="3B4A3B53"/>
    <w:rsid w:val="3B9A1F43"/>
    <w:rsid w:val="3BBB153D"/>
    <w:rsid w:val="3BC340D0"/>
    <w:rsid w:val="3BCA418F"/>
    <w:rsid w:val="3BD034C7"/>
    <w:rsid w:val="3BDA3DBC"/>
    <w:rsid w:val="3C1D1593"/>
    <w:rsid w:val="3C2B53B9"/>
    <w:rsid w:val="3C2D3B81"/>
    <w:rsid w:val="3C365ECA"/>
    <w:rsid w:val="3C3C2CEB"/>
    <w:rsid w:val="3C55459B"/>
    <w:rsid w:val="3C716367"/>
    <w:rsid w:val="3C923082"/>
    <w:rsid w:val="3CA13237"/>
    <w:rsid w:val="3CBE64F1"/>
    <w:rsid w:val="3CCF13AD"/>
    <w:rsid w:val="3CE05D17"/>
    <w:rsid w:val="3CE4238B"/>
    <w:rsid w:val="3CF61444"/>
    <w:rsid w:val="3CF65823"/>
    <w:rsid w:val="3CF753D4"/>
    <w:rsid w:val="3D004ED6"/>
    <w:rsid w:val="3D0354C7"/>
    <w:rsid w:val="3D2818A3"/>
    <w:rsid w:val="3D6D132D"/>
    <w:rsid w:val="3D7359C7"/>
    <w:rsid w:val="3D7642C9"/>
    <w:rsid w:val="3DC2199E"/>
    <w:rsid w:val="3DC236A2"/>
    <w:rsid w:val="3DDA6D42"/>
    <w:rsid w:val="3DFA6BAD"/>
    <w:rsid w:val="3DFC0CC4"/>
    <w:rsid w:val="3DFF13D1"/>
    <w:rsid w:val="3E055E2F"/>
    <w:rsid w:val="3E182B79"/>
    <w:rsid w:val="3E3A7708"/>
    <w:rsid w:val="3E5650B4"/>
    <w:rsid w:val="3E644A3A"/>
    <w:rsid w:val="3E7347F4"/>
    <w:rsid w:val="3E746699"/>
    <w:rsid w:val="3E774E9F"/>
    <w:rsid w:val="3E7B4E6D"/>
    <w:rsid w:val="3EB11D87"/>
    <w:rsid w:val="3ECE73D3"/>
    <w:rsid w:val="3ED5386B"/>
    <w:rsid w:val="3EE04EC0"/>
    <w:rsid w:val="3EF818CE"/>
    <w:rsid w:val="3EF83C43"/>
    <w:rsid w:val="3F01664D"/>
    <w:rsid w:val="3F03359F"/>
    <w:rsid w:val="3F175FC8"/>
    <w:rsid w:val="3FD010A5"/>
    <w:rsid w:val="3FD26C28"/>
    <w:rsid w:val="3FD90626"/>
    <w:rsid w:val="3FE86036"/>
    <w:rsid w:val="402327C5"/>
    <w:rsid w:val="40402DBD"/>
    <w:rsid w:val="40557D3B"/>
    <w:rsid w:val="407121F8"/>
    <w:rsid w:val="40727205"/>
    <w:rsid w:val="40740EA4"/>
    <w:rsid w:val="407868C4"/>
    <w:rsid w:val="407B71B3"/>
    <w:rsid w:val="40850DCD"/>
    <w:rsid w:val="408B1AD9"/>
    <w:rsid w:val="40AE7959"/>
    <w:rsid w:val="40B02347"/>
    <w:rsid w:val="40C9499F"/>
    <w:rsid w:val="412F06D9"/>
    <w:rsid w:val="41745189"/>
    <w:rsid w:val="418209E5"/>
    <w:rsid w:val="419041D2"/>
    <w:rsid w:val="419532ED"/>
    <w:rsid w:val="419B3D5B"/>
    <w:rsid w:val="41AC1D9C"/>
    <w:rsid w:val="41B761F2"/>
    <w:rsid w:val="41BC3617"/>
    <w:rsid w:val="41CD36BD"/>
    <w:rsid w:val="41DD01B8"/>
    <w:rsid w:val="42394836"/>
    <w:rsid w:val="423D24D5"/>
    <w:rsid w:val="4242619A"/>
    <w:rsid w:val="424F6EDD"/>
    <w:rsid w:val="42B20782"/>
    <w:rsid w:val="42B707C1"/>
    <w:rsid w:val="42DF035B"/>
    <w:rsid w:val="42F2086D"/>
    <w:rsid w:val="430A6BB3"/>
    <w:rsid w:val="431516B3"/>
    <w:rsid w:val="43664C23"/>
    <w:rsid w:val="43747673"/>
    <w:rsid w:val="43785484"/>
    <w:rsid w:val="438F37A9"/>
    <w:rsid w:val="43994B5C"/>
    <w:rsid w:val="43B1480B"/>
    <w:rsid w:val="43D05A9F"/>
    <w:rsid w:val="43D77007"/>
    <w:rsid w:val="44166F33"/>
    <w:rsid w:val="44312E59"/>
    <w:rsid w:val="4452439C"/>
    <w:rsid w:val="44675F50"/>
    <w:rsid w:val="447177A7"/>
    <w:rsid w:val="44917C93"/>
    <w:rsid w:val="44C268FB"/>
    <w:rsid w:val="44D60415"/>
    <w:rsid w:val="44F104CC"/>
    <w:rsid w:val="45021BC2"/>
    <w:rsid w:val="45187563"/>
    <w:rsid w:val="45950B66"/>
    <w:rsid w:val="45961040"/>
    <w:rsid w:val="45BF4853"/>
    <w:rsid w:val="45D448CD"/>
    <w:rsid w:val="45F232E7"/>
    <w:rsid w:val="46136785"/>
    <w:rsid w:val="46141491"/>
    <w:rsid w:val="462E578F"/>
    <w:rsid w:val="46487CC3"/>
    <w:rsid w:val="46876CFF"/>
    <w:rsid w:val="469C639B"/>
    <w:rsid w:val="46D41E44"/>
    <w:rsid w:val="472D41FA"/>
    <w:rsid w:val="479A09A1"/>
    <w:rsid w:val="47A4662F"/>
    <w:rsid w:val="47A5261F"/>
    <w:rsid w:val="47AE2F53"/>
    <w:rsid w:val="47B77A9D"/>
    <w:rsid w:val="47BB1643"/>
    <w:rsid w:val="47CE46DA"/>
    <w:rsid w:val="481963CF"/>
    <w:rsid w:val="48202D76"/>
    <w:rsid w:val="48740E43"/>
    <w:rsid w:val="488A4398"/>
    <w:rsid w:val="489F4F95"/>
    <w:rsid w:val="48CC4877"/>
    <w:rsid w:val="48E63C31"/>
    <w:rsid w:val="49216A6A"/>
    <w:rsid w:val="492E16ED"/>
    <w:rsid w:val="49502142"/>
    <w:rsid w:val="496938E0"/>
    <w:rsid w:val="496B37C1"/>
    <w:rsid w:val="49882B35"/>
    <w:rsid w:val="49923712"/>
    <w:rsid w:val="49C44B33"/>
    <w:rsid w:val="49D17660"/>
    <w:rsid w:val="4A160844"/>
    <w:rsid w:val="4A7C2A22"/>
    <w:rsid w:val="4AFE0DE7"/>
    <w:rsid w:val="4B094C89"/>
    <w:rsid w:val="4B104ABC"/>
    <w:rsid w:val="4B255188"/>
    <w:rsid w:val="4B2E5E75"/>
    <w:rsid w:val="4B383F2F"/>
    <w:rsid w:val="4B3872E6"/>
    <w:rsid w:val="4B627D35"/>
    <w:rsid w:val="4B647064"/>
    <w:rsid w:val="4B7F05B4"/>
    <w:rsid w:val="4B871486"/>
    <w:rsid w:val="4C140DFC"/>
    <w:rsid w:val="4C182DDF"/>
    <w:rsid w:val="4C3B5420"/>
    <w:rsid w:val="4C3E45A0"/>
    <w:rsid w:val="4C5604A8"/>
    <w:rsid w:val="4C5B1058"/>
    <w:rsid w:val="4C6D0539"/>
    <w:rsid w:val="4C987828"/>
    <w:rsid w:val="4CA149AE"/>
    <w:rsid w:val="4CA50C40"/>
    <w:rsid w:val="4CFA537C"/>
    <w:rsid w:val="4D2744ED"/>
    <w:rsid w:val="4D35388D"/>
    <w:rsid w:val="4D3741CF"/>
    <w:rsid w:val="4D7A0B6A"/>
    <w:rsid w:val="4DA408AB"/>
    <w:rsid w:val="4DB0348E"/>
    <w:rsid w:val="4DD81B64"/>
    <w:rsid w:val="4DDE1762"/>
    <w:rsid w:val="4DEE15CF"/>
    <w:rsid w:val="4DF51404"/>
    <w:rsid w:val="4E5633F4"/>
    <w:rsid w:val="4E6B485C"/>
    <w:rsid w:val="4E7218BB"/>
    <w:rsid w:val="4E7740D9"/>
    <w:rsid w:val="4EAC0AFF"/>
    <w:rsid w:val="4EC2021D"/>
    <w:rsid w:val="4F001CA3"/>
    <w:rsid w:val="4F084B37"/>
    <w:rsid w:val="4F16549B"/>
    <w:rsid w:val="4F1971FB"/>
    <w:rsid w:val="4F7F0221"/>
    <w:rsid w:val="4F805D9D"/>
    <w:rsid w:val="4F8C685B"/>
    <w:rsid w:val="4F914334"/>
    <w:rsid w:val="4FAC2061"/>
    <w:rsid w:val="4FBB221F"/>
    <w:rsid w:val="50036E2B"/>
    <w:rsid w:val="504B0DF0"/>
    <w:rsid w:val="50510E8E"/>
    <w:rsid w:val="506377EF"/>
    <w:rsid w:val="50637ABB"/>
    <w:rsid w:val="50795BD3"/>
    <w:rsid w:val="50924D47"/>
    <w:rsid w:val="50CD7754"/>
    <w:rsid w:val="50FD13B2"/>
    <w:rsid w:val="51282D4D"/>
    <w:rsid w:val="51327881"/>
    <w:rsid w:val="514E503F"/>
    <w:rsid w:val="51A85918"/>
    <w:rsid w:val="51B3376C"/>
    <w:rsid w:val="51C47CF6"/>
    <w:rsid w:val="521B4163"/>
    <w:rsid w:val="522D62C4"/>
    <w:rsid w:val="52407E7C"/>
    <w:rsid w:val="5277790F"/>
    <w:rsid w:val="529641A0"/>
    <w:rsid w:val="52C9608E"/>
    <w:rsid w:val="52D9178A"/>
    <w:rsid w:val="52FC5E68"/>
    <w:rsid w:val="52FE30BB"/>
    <w:rsid w:val="5356206E"/>
    <w:rsid w:val="536E79E7"/>
    <w:rsid w:val="5375123D"/>
    <w:rsid w:val="538B500A"/>
    <w:rsid w:val="5395369D"/>
    <w:rsid w:val="53F313A1"/>
    <w:rsid w:val="54207E6C"/>
    <w:rsid w:val="548C4913"/>
    <w:rsid w:val="54B40D35"/>
    <w:rsid w:val="54C86A71"/>
    <w:rsid w:val="54CE2507"/>
    <w:rsid w:val="55181CD2"/>
    <w:rsid w:val="552359D0"/>
    <w:rsid w:val="55474BFE"/>
    <w:rsid w:val="555A759A"/>
    <w:rsid w:val="555B7D08"/>
    <w:rsid w:val="556F7282"/>
    <w:rsid w:val="557837FF"/>
    <w:rsid w:val="559654AE"/>
    <w:rsid w:val="55BB65AB"/>
    <w:rsid w:val="55BD4A9F"/>
    <w:rsid w:val="55D01D97"/>
    <w:rsid w:val="55D9013B"/>
    <w:rsid w:val="55E9733B"/>
    <w:rsid w:val="55F07050"/>
    <w:rsid w:val="55F611D5"/>
    <w:rsid w:val="56311EFB"/>
    <w:rsid w:val="56745085"/>
    <w:rsid w:val="56751651"/>
    <w:rsid w:val="56A37ED2"/>
    <w:rsid w:val="56C20B3A"/>
    <w:rsid w:val="56D951D8"/>
    <w:rsid w:val="57114B38"/>
    <w:rsid w:val="57244B18"/>
    <w:rsid w:val="57323D7B"/>
    <w:rsid w:val="57674C43"/>
    <w:rsid w:val="57775C20"/>
    <w:rsid w:val="577A519D"/>
    <w:rsid w:val="5791393F"/>
    <w:rsid w:val="57931253"/>
    <w:rsid w:val="579345B0"/>
    <w:rsid w:val="579B183D"/>
    <w:rsid w:val="57E553DC"/>
    <w:rsid w:val="57EA6028"/>
    <w:rsid w:val="57EF6871"/>
    <w:rsid w:val="5806770C"/>
    <w:rsid w:val="58235FFE"/>
    <w:rsid w:val="58240039"/>
    <w:rsid w:val="5828231D"/>
    <w:rsid w:val="582F5FB6"/>
    <w:rsid w:val="58446A9A"/>
    <w:rsid w:val="584B3B8B"/>
    <w:rsid w:val="58524570"/>
    <w:rsid w:val="587D3A09"/>
    <w:rsid w:val="58AC1B34"/>
    <w:rsid w:val="58DE4F52"/>
    <w:rsid w:val="58E87853"/>
    <w:rsid w:val="58EC2CD6"/>
    <w:rsid w:val="59293E32"/>
    <w:rsid w:val="595A121E"/>
    <w:rsid w:val="595E5E8F"/>
    <w:rsid w:val="598E354F"/>
    <w:rsid w:val="599D777F"/>
    <w:rsid w:val="59AD6642"/>
    <w:rsid w:val="59C75644"/>
    <w:rsid w:val="5A0D1E1B"/>
    <w:rsid w:val="5A175137"/>
    <w:rsid w:val="5A384EC0"/>
    <w:rsid w:val="5A3E3687"/>
    <w:rsid w:val="5AC900C0"/>
    <w:rsid w:val="5AE252AD"/>
    <w:rsid w:val="5AF07FF7"/>
    <w:rsid w:val="5AF422E5"/>
    <w:rsid w:val="5B512B1F"/>
    <w:rsid w:val="5B6434B9"/>
    <w:rsid w:val="5BA16ADF"/>
    <w:rsid w:val="5BC90DD3"/>
    <w:rsid w:val="5BCE0E1A"/>
    <w:rsid w:val="5BD76CE2"/>
    <w:rsid w:val="5BF243F2"/>
    <w:rsid w:val="5BF26431"/>
    <w:rsid w:val="5C006D9C"/>
    <w:rsid w:val="5C01190A"/>
    <w:rsid w:val="5C0E728A"/>
    <w:rsid w:val="5C1C7139"/>
    <w:rsid w:val="5C4F34CA"/>
    <w:rsid w:val="5C7965BA"/>
    <w:rsid w:val="5C8D0454"/>
    <w:rsid w:val="5C97260D"/>
    <w:rsid w:val="5CC910D9"/>
    <w:rsid w:val="5CCA2991"/>
    <w:rsid w:val="5CCC7D4D"/>
    <w:rsid w:val="5D272F84"/>
    <w:rsid w:val="5D443734"/>
    <w:rsid w:val="5D573AAA"/>
    <w:rsid w:val="5DC910A3"/>
    <w:rsid w:val="5E014018"/>
    <w:rsid w:val="5E021A5E"/>
    <w:rsid w:val="5E115BED"/>
    <w:rsid w:val="5E4A1248"/>
    <w:rsid w:val="5E5265F0"/>
    <w:rsid w:val="5E6B7E83"/>
    <w:rsid w:val="5E780DEA"/>
    <w:rsid w:val="5E7B7D5D"/>
    <w:rsid w:val="5E8E5422"/>
    <w:rsid w:val="5E967BC7"/>
    <w:rsid w:val="5EBF641D"/>
    <w:rsid w:val="5ECB1097"/>
    <w:rsid w:val="5EDF0BC7"/>
    <w:rsid w:val="5EE31366"/>
    <w:rsid w:val="5EF67CAA"/>
    <w:rsid w:val="5F1159EE"/>
    <w:rsid w:val="5F132495"/>
    <w:rsid w:val="5F183785"/>
    <w:rsid w:val="5F192C0B"/>
    <w:rsid w:val="5F38505D"/>
    <w:rsid w:val="5F4A5F40"/>
    <w:rsid w:val="5F631FA8"/>
    <w:rsid w:val="5F977102"/>
    <w:rsid w:val="5FB47922"/>
    <w:rsid w:val="5FE75659"/>
    <w:rsid w:val="5FE90AF8"/>
    <w:rsid w:val="5FFC4FB3"/>
    <w:rsid w:val="60371E1A"/>
    <w:rsid w:val="603A2271"/>
    <w:rsid w:val="60843483"/>
    <w:rsid w:val="6089414C"/>
    <w:rsid w:val="609304D5"/>
    <w:rsid w:val="60E243D6"/>
    <w:rsid w:val="61050DE0"/>
    <w:rsid w:val="610B0AE6"/>
    <w:rsid w:val="610F5916"/>
    <w:rsid w:val="611400E9"/>
    <w:rsid w:val="612E38D8"/>
    <w:rsid w:val="614A2142"/>
    <w:rsid w:val="61531DCE"/>
    <w:rsid w:val="615F337C"/>
    <w:rsid w:val="618064C2"/>
    <w:rsid w:val="61943B9E"/>
    <w:rsid w:val="61950312"/>
    <w:rsid w:val="61BC23D0"/>
    <w:rsid w:val="62394602"/>
    <w:rsid w:val="62930E52"/>
    <w:rsid w:val="62AE1E24"/>
    <w:rsid w:val="62D55955"/>
    <w:rsid w:val="62E155D8"/>
    <w:rsid w:val="632F6127"/>
    <w:rsid w:val="635A4BE4"/>
    <w:rsid w:val="635F1FDF"/>
    <w:rsid w:val="63664ABF"/>
    <w:rsid w:val="63A92688"/>
    <w:rsid w:val="63BE4D5A"/>
    <w:rsid w:val="63CB69C3"/>
    <w:rsid w:val="64041E7F"/>
    <w:rsid w:val="64290F64"/>
    <w:rsid w:val="645143E6"/>
    <w:rsid w:val="64636D0B"/>
    <w:rsid w:val="64855065"/>
    <w:rsid w:val="64A83DA6"/>
    <w:rsid w:val="64B72D56"/>
    <w:rsid w:val="64BC1880"/>
    <w:rsid w:val="64C202CD"/>
    <w:rsid w:val="64E67C56"/>
    <w:rsid w:val="64FB0616"/>
    <w:rsid w:val="6528709F"/>
    <w:rsid w:val="652D5E7F"/>
    <w:rsid w:val="65507243"/>
    <w:rsid w:val="656027FF"/>
    <w:rsid w:val="65A76F5C"/>
    <w:rsid w:val="65A77101"/>
    <w:rsid w:val="65C753D5"/>
    <w:rsid w:val="660D1534"/>
    <w:rsid w:val="661917C5"/>
    <w:rsid w:val="66332346"/>
    <w:rsid w:val="66457E51"/>
    <w:rsid w:val="6680376E"/>
    <w:rsid w:val="66824F18"/>
    <w:rsid w:val="66B971D1"/>
    <w:rsid w:val="66DD4FD8"/>
    <w:rsid w:val="66ED31EA"/>
    <w:rsid w:val="66F14F6F"/>
    <w:rsid w:val="66FE5BD7"/>
    <w:rsid w:val="671C1C8D"/>
    <w:rsid w:val="6725236A"/>
    <w:rsid w:val="672A7FDE"/>
    <w:rsid w:val="6735506E"/>
    <w:rsid w:val="67361532"/>
    <w:rsid w:val="674C28A2"/>
    <w:rsid w:val="67864A7F"/>
    <w:rsid w:val="678C79BF"/>
    <w:rsid w:val="67976D28"/>
    <w:rsid w:val="67B32321"/>
    <w:rsid w:val="67B54447"/>
    <w:rsid w:val="67D10605"/>
    <w:rsid w:val="67D13F01"/>
    <w:rsid w:val="67E748E0"/>
    <w:rsid w:val="67F5278C"/>
    <w:rsid w:val="67F75E8E"/>
    <w:rsid w:val="68277913"/>
    <w:rsid w:val="68293C00"/>
    <w:rsid w:val="68321755"/>
    <w:rsid w:val="689C7721"/>
    <w:rsid w:val="68E34B21"/>
    <w:rsid w:val="68F13B92"/>
    <w:rsid w:val="68F57984"/>
    <w:rsid w:val="691867A1"/>
    <w:rsid w:val="691A3243"/>
    <w:rsid w:val="69221EE6"/>
    <w:rsid w:val="696C42BB"/>
    <w:rsid w:val="697A3A8B"/>
    <w:rsid w:val="698007A0"/>
    <w:rsid w:val="698A6B0F"/>
    <w:rsid w:val="69A56997"/>
    <w:rsid w:val="69CC14E2"/>
    <w:rsid w:val="69CD6393"/>
    <w:rsid w:val="69EC4C9C"/>
    <w:rsid w:val="69F1784C"/>
    <w:rsid w:val="6A04287E"/>
    <w:rsid w:val="6A085BC1"/>
    <w:rsid w:val="6A1677FE"/>
    <w:rsid w:val="6A1F7A9F"/>
    <w:rsid w:val="6A38427B"/>
    <w:rsid w:val="6A76421E"/>
    <w:rsid w:val="6A782EAA"/>
    <w:rsid w:val="6A7D12F1"/>
    <w:rsid w:val="6A7F7F37"/>
    <w:rsid w:val="6A8D51AE"/>
    <w:rsid w:val="6AC76160"/>
    <w:rsid w:val="6AD3150D"/>
    <w:rsid w:val="6AF3139D"/>
    <w:rsid w:val="6AFA6684"/>
    <w:rsid w:val="6B2A3BF0"/>
    <w:rsid w:val="6B435052"/>
    <w:rsid w:val="6B4873EB"/>
    <w:rsid w:val="6B5657F4"/>
    <w:rsid w:val="6B5F24B5"/>
    <w:rsid w:val="6B704279"/>
    <w:rsid w:val="6B731F50"/>
    <w:rsid w:val="6BB24687"/>
    <w:rsid w:val="6BE82C6E"/>
    <w:rsid w:val="6BEC58FB"/>
    <w:rsid w:val="6BF53230"/>
    <w:rsid w:val="6BF7258C"/>
    <w:rsid w:val="6C0621AA"/>
    <w:rsid w:val="6C230372"/>
    <w:rsid w:val="6C366F7C"/>
    <w:rsid w:val="6C5628B0"/>
    <w:rsid w:val="6C667711"/>
    <w:rsid w:val="6C761B04"/>
    <w:rsid w:val="6C79584D"/>
    <w:rsid w:val="6CDA7FFC"/>
    <w:rsid w:val="6CDB746B"/>
    <w:rsid w:val="6CEB1D80"/>
    <w:rsid w:val="6CEF7A41"/>
    <w:rsid w:val="6D020EA1"/>
    <w:rsid w:val="6D3C1EDF"/>
    <w:rsid w:val="6D4A3B5E"/>
    <w:rsid w:val="6D777815"/>
    <w:rsid w:val="6D7E5328"/>
    <w:rsid w:val="6DBA1DDD"/>
    <w:rsid w:val="6DC620EB"/>
    <w:rsid w:val="6DDA0CCD"/>
    <w:rsid w:val="6DE74779"/>
    <w:rsid w:val="6E0F1211"/>
    <w:rsid w:val="6E0F3723"/>
    <w:rsid w:val="6E157FB3"/>
    <w:rsid w:val="6E6A7916"/>
    <w:rsid w:val="6E732CEA"/>
    <w:rsid w:val="6EE70A89"/>
    <w:rsid w:val="6EF00E07"/>
    <w:rsid w:val="6F015689"/>
    <w:rsid w:val="6F3B7D08"/>
    <w:rsid w:val="6F596421"/>
    <w:rsid w:val="6F5B1BC6"/>
    <w:rsid w:val="6F637DCF"/>
    <w:rsid w:val="6F682D79"/>
    <w:rsid w:val="6F6B7D6A"/>
    <w:rsid w:val="6F717B6E"/>
    <w:rsid w:val="6FB30B76"/>
    <w:rsid w:val="6FBD0858"/>
    <w:rsid w:val="6FEA5836"/>
    <w:rsid w:val="708C3687"/>
    <w:rsid w:val="709241E9"/>
    <w:rsid w:val="70AB0E5A"/>
    <w:rsid w:val="70B647CF"/>
    <w:rsid w:val="70E3043C"/>
    <w:rsid w:val="70EA7B43"/>
    <w:rsid w:val="70F825BD"/>
    <w:rsid w:val="710C7745"/>
    <w:rsid w:val="713B6599"/>
    <w:rsid w:val="71615427"/>
    <w:rsid w:val="71837F1E"/>
    <w:rsid w:val="71963E0C"/>
    <w:rsid w:val="71AC4F7C"/>
    <w:rsid w:val="71B07F93"/>
    <w:rsid w:val="71DD4F3A"/>
    <w:rsid w:val="724C04FD"/>
    <w:rsid w:val="725306B2"/>
    <w:rsid w:val="72725F7F"/>
    <w:rsid w:val="72A40050"/>
    <w:rsid w:val="72E1752D"/>
    <w:rsid w:val="732F20E0"/>
    <w:rsid w:val="73725529"/>
    <w:rsid w:val="73A015C2"/>
    <w:rsid w:val="73A913CF"/>
    <w:rsid w:val="73EB1497"/>
    <w:rsid w:val="74000A47"/>
    <w:rsid w:val="74322BB5"/>
    <w:rsid w:val="74484526"/>
    <w:rsid w:val="745B45EA"/>
    <w:rsid w:val="74885606"/>
    <w:rsid w:val="74A27FDB"/>
    <w:rsid w:val="74B06B64"/>
    <w:rsid w:val="74BB6271"/>
    <w:rsid w:val="751115BE"/>
    <w:rsid w:val="751F2214"/>
    <w:rsid w:val="754E2408"/>
    <w:rsid w:val="75544354"/>
    <w:rsid w:val="75580F8A"/>
    <w:rsid w:val="755901B1"/>
    <w:rsid w:val="75740E00"/>
    <w:rsid w:val="757F162D"/>
    <w:rsid w:val="7598022F"/>
    <w:rsid w:val="75A1508E"/>
    <w:rsid w:val="75A2045D"/>
    <w:rsid w:val="75BE31B8"/>
    <w:rsid w:val="75CC2D4E"/>
    <w:rsid w:val="75DE6456"/>
    <w:rsid w:val="75F71430"/>
    <w:rsid w:val="7616035B"/>
    <w:rsid w:val="763A080C"/>
    <w:rsid w:val="765A6478"/>
    <w:rsid w:val="76641507"/>
    <w:rsid w:val="76653AF3"/>
    <w:rsid w:val="76727EA9"/>
    <w:rsid w:val="76A24DA1"/>
    <w:rsid w:val="76A85A22"/>
    <w:rsid w:val="76EB5B39"/>
    <w:rsid w:val="76ED2AF4"/>
    <w:rsid w:val="770704C1"/>
    <w:rsid w:val="77101C07"/>
    <w:rsid w:val="77102F52"/>
    <w:rsid w:val="771478EB"/>
    <w:rsid w:val="77337668"/>
    <w:rsid w:val="773E5387"/>
    <w:rsid w:val="775A5AE2"/>
    <w:rsid w:val="776F4F23"/>
    <w:rsid w:val="7773403A"/>
    <w:rsid w:val="77B14E94"/>
    <w:rsid w:val="77B355B8"/>
    <w:rsid w:val="77B61C34"/>
    <w:rsid w:val="77DD4D9F"/>
    <w:rsid w:val="77E359DC"/>
    <w:rsid w:val="78156E78"/>
    <w:rsid w:val="782D5EAF"/>
    <w:rsid w:val="78604CAD"/>
    <w:rsid w:val="78857F16"/>
    <w:rsid w:val="788B2101"/>
    <w:rsid w:val="7897138D"/>
    <w:rsid w:val="789F1175"/>
    <w:rsid w:val="78A515AE"/>
    <w:rsid w:val="790842E1"/>
    <w:rsid w:val="790B385D"/>
    <w:rsid w:val="79137021"/>
    <w:rsid w:val="7914018D"/>
    <w:rsid w:val="79176CCC"/>
    <w:rsid w:val="791C1026"/>
    <w:rsid w:val="792778C8"/>
    <w:rsid w:val="79312675"/>
    <w:rsid w:val="7931734A"/>
    <w:rsid w:val="793C27DB"/>
    <w:rsid w:val="796124CE"/>
    <w:rsid w:val="79700230"/>
    <w:rsid w:val="7982765F"/>
    <w:rsid w:val="79983041"/>
    <w:rsid w:val="799D1057"/>
    <w:rsid w:val="79AD6703"/>
    <w:rsid w:val="79AF2036"/>
    <w:rsid w:val="79BD46A6"/>
    <w:rsid w:val="7A36081C"/>
    <w:rsid w:val="7A431A7E"/>
    <w:rsid w:val="7A637F6A"/>
    <w:rsid w:val="7A8D7931"/>
    <w:rsid w:val="7A91133C"/>
    <w:rsid w:val="7AD04A1A"/>
    <w:rsid w:val="7ADB38D4"/>
    <w:rsid w:val="7AE0744A"/>
    <w:rsid w:val="7AE453EE"/>
    <w:rsid w:val="7AF61FD7"/>
    <w:rsid w:val="7B1C17B9"/>
    <w:rsid w:val="7B2044F7"/>
    <w:rsid w:val="7B310E5D"/>
    <w:rsid w:val="7B5A6F58"/>
    <w:rsid w:val="7B6C3958"/>
    <w:rsid w:val="7B903942"/>
    <w:rsid w:val="7BC84C59"/>
    <w:rsid w:val="7BF00D94"/>
    <w:rsid w:val="7BF13877"/>
    <w:rsid w:val="7C01401C"/>
    <w:rsid w:val="7C587C3D"/>
    <w:rsid w:val="7C615635"/>
    <w:rsid w:val="7C782645"/>
    <w:rsid w:val="7CB33935"/>
    <w:rsid w:val="7CB86B17"/>
    <w:rsid w:val="7CC85AEF"/>
    <w:rsid w:val="7CCA756B"/>
    <w:rsid w:val="7CCD3892"/>
    <w:rsid w:val="7CCD66F5"/>
    <w:rsid w:val="7CD04728"/>
    <w:rsid w:val="7CF20ECE"/>
    <w:rsid w:val="7D0F4E9B"/>
    <w:rsid w:val="7D1E5454"/>
    <w:rsid w:val="7D7A3E7D"/>
    <w:rsid w:val="7DBE1A3A"/>
    <w:rsid w:val="7DD2691C"/>
    <w:rsid w:val="7E021E79"/>
    <w:rsid w:val="7E1C5AD1"/>
    <w:rsid w:val="7E333FDB"/>
    <w:rsid w:val="7E3563A1"/>
    <w:rsid w:val="7E3842C6"/>
    <w:rsid w:val="7E654AE8"/>
    <w:rsid w:val="7E735DA8"/>
    <w:rsid w:val="7E753CCA"/>
    <w:rsid w:val="7E9326F9"/>
    <w:rsid w:val="7E9D42A8"/>
    <w:rsid w:val="7EA558D1"/>
    <w:rsid w:val="7EE10C39"/>
    <w:rsid w:val="7EE20452"/>
    <w:rsid w:val="7F0728CE"/>
    <w:rsid w:val="7F0E6A25"/>
    <w:rsid w:val="7F2558EA"/>
    <w:rsid w:val="7F395D9C"/>
    <w:rsid w:val="7F595FE2"/>
    <w:rsid w:val="7F663CA4"/>
    <w:rsid w:val="7F79468E"/>
    <w:rsid w:val="7FC97849"/>
    <w:rsid w:val="7FD47A79"/>
    <w:rsid w:val="7FD9537A"/>
    <w:rsid w:val="7FDA7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chart" Target="charts/chart1.xml"/><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2.xml"/><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enhancement仿真结果.xlsx]20200114-无跳频'!$A$504</c:f>
              <c:strCache>
                <c:ptCount val="1"/>
                <c:pt idx="0">
                  <c:v>8 repetitions baseline</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enhancement仿真结果.xlsx]20200114-无跳频'!$B$504:$G$504</c:f>
              <c:numCache>
                <c:formatCode>General</c:formatCode>
                <c:ptCount val="6"/>
                <c:pt idx="0">
                  <c:v>0.95196</c:v>
                </c:pt>
                <c:pt idx="1">
                  <c:v>0.83026</c:v>
                </c:pt>
                <c:pt idx="2">
                  <c:v>0.60048</c:v>
                </c:pt>
                <c:pt idx="3">
                  <c:v>0.35308</c:v>
                </c:pt>
                <c:pt idx="4">
                  <c:v>0.17374</c:v>
                </c:pt>
                <c:pt idx="5">
                  <c:v>0.07206</c:v>
                </c:pt>
              </c:numCache>
            </c:numRef>
          </c:val>
          <c:smooth val="0"/>
        </c:ser>
        <c:ser>
          <c:idx val="1"/>
          <c:order val="1"/>
          <c:tx>
            <c:strRef>
              <c:f>'[Coverage enhancement仿真结果.xlsx]20200114-无跳频'!$A$505</c:f>
              <c:strCache>
                <c:ptCount val="1"/>
                <c:pt idx="0">
                  <c:v>8 repetitions with inter-slot FH</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enhancement仿真结果.xlsx]20200114-无跳频'!$B$505:$G$505</c:f>
              <c:numCache>
                <c:formatCode>General</c:formatCode>
                <c:ptCount val="6"/>
                <c:pt idx="0">
                  <c:v>0.96797</c:v>
                </c:pt>
                <c:pt idx="1">
                  <c:v>0.80945</c:v>
                </c:pt>
                <c:pt idx="2">
                  <c:v>0.53082</c:v>
                </c:pt>
                <c:pt idx="3">
                  <c:v>0.2545</c:v>
                </c:pt>
                <c:pt idx="4">
                  <c:v>0.07766</c:v>
                </c:pt>
                <c:pt idx="5">
                  <c:v>0.02882</c:v>
                </c:pt>
              </c:numCache>
            </c:numRef>
          </c:val>
          <c:smooth val="0"/>
        </c:ser>
        <c:ser>
          <c:idx val="2"/>
          <c:order val="2"/>
          <c:tx>
            <c:strRef>
              <c:f>'[Coverage enhancement仿真结果.xlsx]20200114-无跳频'!$A$506</c:f>
              <c:strCache>
                <c:ptCount val="1"/>
                <c:pt idx="0">
                  <c:v>8 repetitions with joint channel estimation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enhancement仿真结果.xlsx]20200114-无跳频'!$B$506:$G$506</c:f>
              <c:numCache>
                <c:formatCode>General</c:formatCode>
                <c:ptCount val="6"/>
                <c:pt idx="0">
                  <c:v>0.75901</c:v>
                </c:pt>
                <c:pt idx="1">
                  <c:v>0.51962</c:v>
                </c:pt>
                <c:pt idx="2">
                  <c:v>0.30024</c:v>
                </c:pt>
                <c:pt idx="3">
                  <c:v>0.14011</c:v>
                </c:pt>
                <c:pt idx="4">
                  <c:v>0.06565</c:v>
                </c:pt>
                <c:pt idx="5">
                  <c:v>0.02722</c:v>
                </c:pt>
              </c:numCache>
            </c:numRef>
          </c:val>
          <c:smooth val="0"/>
        </c:ser>
        <c:ser>
          <c:idx val="3"/>
          <c:order val="3"/>
          <c:tx>
            <c:strRef>
              <c:f>'[Coverage enhancement仿真结果.xlsx]20200114-无跳频'!$A$507</c:f>
              <c:strCache>
                <c:ptCount val="1"/>
                <c:pt idx="0">
                  <c:v>8 repetitions with inter-slot FH bundling size 2 and joint channel estimation in each bundle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enhancement仿真结果.xlsx]20200114-无跳频'!$B$507:$G$507</c:f>
              <c:numCache>
                <c:formatCode>General</c:formatCode>
                <c:ptCount val="6"/>
                <c:pt idx="0">
                  <c:v>0.89752</c:v>
                </c:pt>
                <c:pt idx="1">
                  <c:v>0.64051</c:v>
                </c:pt>
                <c:pt idx="2">
                  <c:v>0.39231</c:v>
                </c:pt>
                <c:pt idx="3">
                  <c:v>0.15052</c:v>
                </c:pt>
                <c:pt idx="4">
                  <c:v>0.04323</c:v>
                </c:pt>
                <c:pt idx="5">
                  <c:v>0.01601</c:v>
                </c:pt>
              </c:numCache>
            </c:numRef>
          </c:val>
          <c:smooth val="0"/>
        </c:ser>
        <c:ser>
          <c:idx val="4"/>
          <c:order val="4"/>
          <c:tx>
            <c:strRef>
              <c:f>'[Coverage enhancement仿真结果.xlsx]20200114-无跳频'!$A$508</c:f>
              <c:strCache>
                <c:ptCount val="1"/>
                <c:pt idx="0">
                  <c:v>8 repetitions with inter-slot FH bundling size 4 and joint channel estimation in each bundle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enhancement仿真结果.xlsx]20200114-无跳频'!$B$503:$G$503</c:f>
              <c:numCache>
                <c:formatCode>General</c:formatCode>
                <c:ptCount val="6"/>
                <c:pt idx="0">
                  <c:v>-21</c:v>
                </c:pt>
                <c:pt idx="1">
                  <c:v>-19.5</c:v>
                </c:pt>
                <c:pt idx="2">
                  <c:v>-18</c:v>
                </c:pt>
                <c:pt idx="3">
                  <c:v>-16.5</c:v>
                </c:pt>
                <c:pt idx="4">
                  <c:v>-15</c:v>
                </c:pt>
                <c:pt idx="5">
                  <c:v>-13.5</c:v>
                </c:pt>
              </c:numCache>
            </c:numRef>
          </c:cat>
          <c:val>
            <c:numRef>
              <c:f>'[Coverage enhancement仿真结果.xlsx]20200114-无跳频'!$B$508:$G$508</c:f>
              <c:numCache>
                <c:formatCode>General</c:formatCode>
                <c:ptCount val="6"/>
                <c:pt idx="0">
                  <c:v>0.79183</c:v>
                </c:pt>
                <c:pt idx="1">
                  <c:v>0.52602</c:v>
                </c:pt>
                <c:pt idx="2">
                  <c:v>0.26021</c:v>
                </c:pt>
                <c:pt idx="3">
                  <c:v>0.09207</c:v>
                </c:pt>
                <c:pt idx="4">
                  <c:v>0.03283</c:v>
                </c:pt>
                <c:pt idx="5">
                  <c:v>0.01201</c:v>
                </c:pt>
              </c:numCache>
            </c:numRef>
          </c:val>
          <c:smooth val="0"/>
        </c:ser>
        <c:dLbls>
          <c:showLegendKey val="0"/>
          <c:showVal val="0"/>
          <c:showCatName val="0"/>
          <c:showSerName val="0"/>
          <c:showPercent val="0"/>
          <c:showBubbleSize val="0"/>
        </c:dLbls>
        <c:marker val="1"/>
        <c:smooth val="0"/>
        <c:axId val="895672690"/>
        <c:axId val="594895001"/>
      </c:lineChart>
      <c:catAx>
        <c:axId val="895672690"/>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94895001"/>
        <c:crossesAt val="0"/>
        <c:auto val="1"/>
        <c:lblAlgn val="ctr"/>
        <c:lblOffset val="100"/>
        <c:noMultiLvlLbl val="0"/>
      </c:catAx>
      <c:valAx>
        <c:axId val="594895001"/>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9567269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enhancement仿真结果.xlsx]20200114-无跳频'!$A$517</c:f>
              <c:strCache>
                <c:ptCount val="1"/>
                <c:pt idx="0">
                  <c:v>Case 1:DMRS pattern 1 w/o joint channel estimation, (Baseline 1), MCS0</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enhancement仿真结果.xlsx]20200114-无跳频'!$B$517:$H$517</c:f>
              <c:numCache>
                <c:formatCode>General</c:formatCode>
                <c:ptCount val="7"/>
                <c:pt idx="0">
                  <c:v>0.95997</c:v>
                </c:pt>
                <c:pt idx="1">
                  <c:v>0.78143</c:v>
                </c:pt>
                <c:pt idx="2">
                  <c:v>0.45156</c:v>
                </c:pt>
                <c:pt idx="3">
                  <c:v>0.17694</c:v>
                </c:pt>
                <c:pt idx="4">
                  <c:v>0.05284</c:v>
                </c:pt>
                <c:pt idx="5">
                  <c:v>0.01201</c:v>
                </c:pt>
                <c:pt idx="6">
                  <c:v>0.0016</c:v>
                </c:pt>
              </c:numCache>
            </c:numRef>
          </c:val>
          <c:smooth val="0"/>
        </c:ser>
        <c:ser>
          <c:idx val="1"/>
          <c:order val="1"/>
          <c:tx>
            <c:strRef>
              <c:f>'[Coverage enhancement仿真结果.xlsx]20200114-无跳频'!$A$518</c:f>
              <c:strCache>
                <c:ptCount val="1"/>
                <c:pt idx="0">
                  <c:v>Case 2:DMRS pattern 2 w/o joint channel estimation, (Baseline 2), MCS1</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enhancement仿真结果.xlsx]20200114-无跳频'!$B$518:$H$518</c:f>
              <c:numCache>
                <c:formatCode>General</c:formatCode>
                <c:ptCount val="7"/>
                <c:pt idx="0">
                  <c:v>0.94876</c:v>
                </c:pt>
                <c:pt idx="1">
                  <c:v>0.7454</c:v>
                </c:pt>
                <c:pt idx="2">
                  <c:v>0.40913</c:v>
                </c:pt>
                <c:pt idx="3">
                  <c:v>0.15773</c:v>
                </c:pt>
                <c:pt idx="4">
                  <c:v>0.05444</c:v>
                </c:pt>
                <c:pt idx="5">
                  <c:v>0.01361</c:v>
                </c:pt>
                <c:pt idx="6">
                  <c:v>0.0016</c:v>
                </c:pt>
              </c:numCache>
            </c:numRef>
          </c:val>
          <c:smooth val="0"/>
        </c:ser>
        <c:ser>
          <c:idx val="2"/>
          <c:order val="2"/>
          <c:tx>
            <c:strRef>
              <c:f>'[Coverage enhancement仿真结果.xlsx]20200114-无跳频'!$A$519</c:f>
              <c:strCache>
                <c:ptCount val="1"/>
                <c:pt idx="0">
                  <c:v>Case 3:DMRS pattern 1 w/ joint channel estimation, w/o DMRS optimization, MCS0</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enhancement仿真结果.xlsx]20200114-无跳频'!$B$519:$H$519</c:f>
              <c:numCache>
                <c:formatCode>General</c:formatCode>
                <c:ptCount val="7"/>
                <c:pt idx="0">
                  <c:v>0.67574</c:v>
                </c:pt>
                <c:pt idx="1">
                  <c:v>0.34988</c:v>
                </c:pt>
                <c:pt idx="2">
                  <c:v>0.15052</c:v>
                </c:pt>
                <c:pt idx="3">
                  <c:v>0.05524</c:v>
                </c:pt>
              </c:numCache>
            </c:numRef>
          </c:val>
          <c:smooth val="0"/>
        </c:ser>
        <c:ser>
          <c:idx val="3"/>
          <c:order val="3"/>
          <c:tx>
            <c:strRef>
              <c:f>'[Coverage enhancement仿真结果.xlsx]20200114-无跳频'!$A$520</c:f>
              <c:strCache>
                <c:ptCount val="1"/>
                <c:pt idx="0">
                  <c:v>Case 4:DMRS pattern 2 w/ joint channel estimation, w/o DMRS optimization, MCS1</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enhancement仿真结果.xlsx]20200114-无跳频'!$B$520:$H$520</c:f>
              <c:numCache>
                <c:formatCode>General</c:formatCode>
                <c:ptCount val="7"/>
                <c:pt idx="0">
                  <c:v>0.77662</c:v>
                </c:pt>
                <c:pt idx="1">
                  <c:v>0.44916</c:v>
                </c:pt>
                <c:pt idx="2">
                  <c:v>0.19376</c:v>
                </c:pt>
                <c:pt idx="3">
                  <c:v>0.06245</c:v>
                </c:pt>
                <c:pt idx="4">
                  <c:v>0.02162</c:v>
                </c:pt>
                <c:pt idx="5">
                  <c:v>0</c:v>
                </c:pt>
              </c:numCache>
            </c:numRef>
          </c:val>
          <c:smooth val="0"/>
        </c:ser>
        <c:ser>
          <c:idx val="4"/>
          <c:order val="4"/>
          <c:tx>
            <c:strRef>
              <c:f>'[Coverage enhancement仿真结果.xlsx]20200114-无跳频'!$A$521</c:f>
              <c:strCache>
                <c:ptCount val="1"/>
                <c:pt idx="0">
                  <c:v>Case 5:DMRS pattern 3 w/ joint channel estimation, w/ DMRS optimization, MCS0</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enhancement仿真结果.xlsx]20200114-无跳频'!$B$521:$H$521</c:f>
              <c:numCache>
                <c:formatCode>General</c:formatCode>
                <c:ptCount val="7"/>
                <c:pt idx="0">
                  <c:v>0.73979</c:v>
                </c:pt>
                <c:pt idx="1">
                  <c:v>0.43155</c:v>
                </c:pt>
                <c:pt idx="2">
                  <c:v>0.16894</c:v>
                </c:pt>
                <c:pt idx="3">
                  <c:v>0.06245</c:v>
                </c:pt>
                <c:pt idx="4">
                  <c:v>0.02162</c:v>
                </c:pt>
                <c:pt idx="5">
                  <c:v>0.0032</c:v>
                </c:pt>
              </c:numCache>
            </c:numRef>
          </c:val>
          <c:smooth val="0"/>
        </c:ser>
        <c:ser>
          <c:idx val="5"/>
          <c:order val="5"/>
          <c:tx>
            <c:strRef>
              <c:f>'[Coverage enhancement仿真结果.xlsx]20200114-无跳频'!$A$522</c:f>
              <c:strCache>
                <c:ptCount val="1"/>
                <c:pt idx="0">
                  <c:v>Case 6:DMRS pattern 4 w/ joint channel estimation, w/ DMRS optimization, MCS0</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dLbls>
            <c:delete val="1"/>
          </c:dLbls>
          <c:cat>
            <c:numRef>
              <c:f>'[Coverage enhancement仿真结果.xlsx]20200114-无跳频'!$B$516:$H$516</c:f>
              <c:numCache>
                <c:formatCode>General</c:formatCode>
                <c:ptCount val="7"/>
                <c:pt idx="0">
                  <c:v>-20</c:v>
                </c:pt>
                <c:pt idx="1">
                  <c:v>-18</c:v>
                </c:pt>
                <c:pt idx="2">
                  <c:v>-16</c:v>
                </c:pt>
                <c:pt idx="3">
                  <c:v>-14</c:v>
                </c:pt>
                <c:pt idx="4">
                  <c:v>-12</c:v>
                </c:pt>
                <c:pt idx="5">
                  <c:v>-10</c:v>
                </c:pt>
                <c:pt idx="6">
                  <c:v>-8</c:v>
                </c:pt>
              </c:numCache>
            </c:numRef>
          </c:cat>
          <c:val>
            <c:numRef>
              <c:f>'[Coverage enhancement仿真结果.xlsx]20200114-无跳频'!$B$522:$H$522</c:f>
              <c:numCache>
                <c:formatCode>General</c:formatCode>
                <c:ptCount val="7"/>
                <c:pt idx="0">
                  <c:v>0.63571</c:v>
                </c:pt>
                <c:pt idx="1">
                  <c:v>0.31785</c:v>
                </c:pt>
                <c:pt idx="2">
                  <c:v>0.1193</c:v>
                </c:pt>
                <c:pt idx="3">
                  <c:v>0.04243</c:v>
                </c:pt>
                <c:pt idx="4">
                  <c:v>0.01121</c:v>
                </c:pt>
                <c:pt idx="5">
                  <c:v>0</c:v>
                </c:pt>
              </c:numCache>
            </c:numRef>
          </c:val>
          <c:smooth val="0"/>
        </c:ser>
        <c:dLbls>
          <c:showLegendKey val="0"/>
          <c:showVal val="0"/>
          <c:showCatName val="0"/>
          <c:showSerName val="0"/>
          <c:showPercent val="0"/>
          <c:showBubbleSize val="0"/>
        </c:dLbls>
        <c:marker val="1"/>
        <c:smooth val="0"/>
        <c:axId val="276343789"/>
        <c:axId val="980509578"/>
      </c:lineChart>
      <c:catAx>
        <c:axId val="27634378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0509578"/>
        <c:crossesAt val="0"/>
        <c:auto val="1"/>
        <c:lblAlgn val="ctr"/>
        <c:lblOffset val="100"/>
        <c:noMultiLvlLbl val="0"/>
      </c:catAx>
      <c:valAx>
        <c:axId val="9805095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76343789"/>
        <c:crosses val="autoZero"/>
        <c:crossBetween val="between"/>
      </c:valAx>
      <c:spPr>
        <a:noFill/>
        <a:ln>
          <a:noFill/>
        </a:ln>
        <a:effectLst/>
      </c:spPr>
    </c:plotArea>
    <c:legend>
      <c:legendPos val="b"/>
      <c:layout>
        <c:manualLayout>
          <c:xMode val="edge"/>
          <c:yMode val="edge"/>
          <c:x val="0.113026819923372"/>
          <c:y val="0.7547094720084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2021-01-19T03:41:51Z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